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BA9320" w14:textId="77777777" w:rsidR="00DB78AA" w:rsidRPr="00DB78AA" w:rsidRDefault="00DB78AA" w:rsidP="00DB78AA">
      <w:pPr>
        <w:jc w:val="center"/>
        <w:rPr>
          <w:rFonts w:cs="Calibri"/>
          <w:b/>
          <w:bCs/>
          <w:lang w:val="fr-FR"/>
        </w:rPr>
      </w:pPr>
    </w:p>
    <w:p w14:paraId="20AB15D5" w14:textId="1E812E8D" w:rsidR="00DB78AA" w:rsidRPr="00DB78AA" w:rsidRDefault="00DB78AA" w:rsidP="00DB78AA">
      <w:pPr>
        <w:jc w:val="center"/>
        <w:rPr>
          <w:rFonts w:cs="Calibri"/>
          <w:b/>
          <w:bCs/>
          <w:lang w:val="pt-BR"/>
        </w:rPr>
      </w:pPr>
      <w:r w:rsidRPr="00DB78AA">
        <w:rPr>
          <w:rFonts w:cs="Calibri"/>
          <w:b/>
          <w:bCs/>
          <w:lang w:val="pt-BR"/>
        </w:rPr>
        <w:t xml:space="preserve">REUNIÃO DO CONSELHO DE ADMINISTRAÇÃO DA AUTORIDADE REGULADORA NACIONAL </w:t>
      </w:r>
    </w:p>
    <w:p w14:paraId="215E551E" w14:textId="439456E5" w:rsidR="00DB78AA" w:rsidRDefault="006212BB" w:rsidP="00DB78AA">
      <w:pPr>
        <w:jc w:val="center"/>
        <w:rPr>
          <w:rFonts w:cs="Calibri"/>
          <w:b/>
          <w:bCs/>
        </w:rPr>
      </w:pPr>
      <w:r w:rsidRPr="006D50BA">
        <w:rPr>
          <w:rFonts w:cs="Calibri"/>
          <w:b/>
          <w:bCs/>
          <w:lang w:val="pt-BR"/>
        </w:rPr>
        <w:t xml:space="preserve">Deliberação </w:t>
      </w:r>
      <w:r w:rsidR="006D50BA" w:rsidRPr="006D50BA">
        <w:rPr>
          <w:rFonts w:cs="Calibri"/>
          <w:b/>
          <w:bCs/>
          <w:lang w:val="pt-BR"/>
        </w:rPr>
        <w:t>Nº</w:t>
      </w:r>
      <w:r w:rsidR="006D50BA">
        <w:rPr>
          <w:lang w:val="pt-BR"/>
        </w:rPr>
        <w:t xml:space="preserve"> [</w:t>
      </w:r>
      <w:r w:rsidR="00DB78AA">
        <w:rPr>
          <w:rFonts w:cs="Calibri"/>
          <w:lang w:val="pt-BR"/>
        </w:rPr>
        <w:t>•</w:t>
      </w:r>
      <w:r w:rsidR="00DB78AA">
        <w:rPr>
          <w:lang w:val="pt-BR"/>
        </w:rPr>
        <w:t>]</w:t>
      </w:r>
      <w:r w:rsidR="00DB78AA" w:rsidRPr="006D50BA">
        <w:rPr>
          <w:rFonts w:cs="Calibri"/>
          <w:b/>
          <w:bCs/>
          <w:lang w:val="pt-BR"/>
        </w:rPr>
        <w:t xml:space="preserve"> /CA/ARN</w:t>
      </w:r>
      <w:r w:rsidR="006D50BA" w:rsidRPr="006D50BA">
        <w:rPr>
          <w:rFonts w:cs="Calibri"/>
          <w:b/>
          <w:bCs/>
          <w:lang w:val="pt-BR"/>
        </w:rPr>
        <w:t>/</w:t>
      </w:r>
      <w:r w:rsidR="006D50BA">
        <w:rPr>
          <w:lang w:val="pt-BR"/>
        </w:rPr>
        <w:t xml:space="preserve"> [</w:t>
      </w:r>
      <w:r w:rsidR="00DB78AA">
        <w:rPr>
          <w:rFonts w:cs="Calibri"/>
          <w:lang w:val="pt-BR"/>
        </w:rPr>
        <w:t>•</w:t>
      </w:r>
      <w:r w:rsidR="00DB78AA">
        <w:rPr>
          <w:lang w:val="pt-BR"/>
        </w:rPr>
        <w:t>]</w:t>
      </w:r>
    </w:p>
    <w:p w14:paraId="138F3633" w14:textId="02F92077" w:rsidR="00B26039" w:rsidRPr="007C59C5" w:rsidRDefault="00B26039" w:rsidP="005E137D">
      <w:pPr>
        <w:jc w:val="center"/>
        <w:rPr>
          <w:rFonts w:cs="Calibri"/>
          <w:b/>
          <w:bCs/>
        </w:rPr>
      </w:pPr>
      <w:r w:rsidRPr="007C59C5">
        <w:rPr>
          <w:rFonts w:cs="Calibri"/>
          <w:b/>
          <w:bCs/>
        </w:rPr>
        <w:t xml:space="preserve">Condições e os procedimentos de concessão de acesso e de exploração do canal </w:t>
      </w:r>
      <w:r w:rsidR="00840808" w:rsidRPr="006D50BA">
        <w:rPr>
          <w:b/>
          <w:bCs/>
        </w:rPr>
        <w:t>USSD</w:t>
      </w:r>
      <w:r w:rsidR="00840808" w:rsidRPr="006D50BA" w:rsidDel="00840808">
        <w:rPr>
          <w:rFonts w:cs="Calibri"/>
          <w:b/>
          <w:bCs/>
        </w:rPr>
        <w:t xml:space="preserve"> </w:t>
      </w:r>
      <w:r w:rsidR="000E3E44">
        <w:rPr>
          <w:rFonts w:cs="Calibri"/>
          <w:b/>
          <w:bCs/>
        </w:rPr>
        <w:t>pelos</w:t>
      </w:r>
      <w:r w:rsidRPr="007C59C5">
        <w:rPr>
          <w:rFonts w:cs="Calibri"/>
          <w:b/>
          <w:bCs/>
        </w:rPr>
        <w:t xml:space="preserve"> </w:t>
      </w:r>
      <w:r w:rsidR="000B4DF8">
        <w:rPr>
          <w:rFonts w:cs="Calibri"/>
          <w:b/>
          <w:bCs/>
        </w:rPr>
        <w:t xml:space="preserve">operadores das </w:t>
      </w:r>
      <w:r w:rsidRPr="007C59C5">
        <w:rPr>
          <w:rFonts w:cs="Calibri"/>
          <w:b/>
          <w:bCs/>
        </w:rPr>
        <w:t xml:space="preserve">comunicações electrónicas </w:t>
      </w:r>
    </w:p>
    <w:p w14:paraId="71545F64" w14:textId="77777777" w:rsidR="00B26039" w:rsidRPr="007C59C5" w:rsidRDefault="00B26039" w:rsidP="005E137D">
      <w:pPr>
        <w:rPr>
          <w:rFonts w:cs="Calibri"/>
        </w:rPr>
      </w:pPr>
    </w:p>
    <w:p w14:paraId="07CBE569" w14:textId="2A5F238A" w:rsidR="00FA2D29" w:rsidRPr="007C59C5" w:rsidRDefault="00B26039" w:rsidP="005E137D">
      <w:r w:rsidRPr="007C59C5">
        <w:t>O</w:t>
      </w:r>
      <w:r w:rsidR="00FA2D29" w:rsidRPr="007C59C5">
        <w:t xml:space="preserve"> canal USSD é um recurso específico das redes de </w:t>
      </w:r>
      <w:r w:rsidRPr="007C59C5">
        <w:t xml:space="preserve"> comunicações electrónicas</w:t>
      </w:r>
      <w:r w:rsidR="00FA2D29" w:rsidRPr="007C59C5">
        <w:t xml:space="preserve"> móveis do tipo GSM, essencial para o fornecimento seguro, através dessa mesma rede, de certas categorias de serviços de valor acrescentado (VAS), incluindo os serviços financeiros móveis;</w:t>
      </w:r>
    </w:p>
    <w:p w14:paraId="308AB4E2" w14:textId="4ED648D7" w:rsidR="00FA2D29" w:rsidRPr="007C59C5" w:rsidRDefault="00B26039" w:rsidP="005E137D">
      <w:r w:rsidRPr="007C59C5">
        <w:t>O</w:t>
      </w:r>
      <w:r w:rsidR="00FA2D29" w:rsidRPr="007C59C5">
        <w:t xml:space="preserve"> acesso ao canal USSD permite a realização de transacções móveis em tempo real sem necessidade de acesso à Internet para os prestadores de serviços financeiros digitais e os seus clientes;</w:t>
      </w:r>
    </w:p>
    <w:p w14:paraId="29AAE569" w14:textId="1EE3225B" w:rsidR="00B26039" w:rsidRPr="007C59C5" w:rsidRDefault="00B26039" w:rsidP="005E137D">
      <w:r w:rsidRPr="007C59C5">
        <w:t>A</w:t>
      </w:r>
      <w:r w:rsidR="00FA2D29" w:rsidRPr="007C59C5">
        <w:t xml:space="preserve"> abertura do canal USSD contribui significativamente para o desenvolvimento dos serviços financeiros móveis e permite que as pessoas, nomeadamente as que vivem em zonas rurais e/ou não dispõem de um smartphone, acedam a serviços financeiros móveis</w:t>
      </w:r>
      <w:r w:rsidRPr="007C59C5">
        <w:t xml:space="preserve"> </w:t>
      </w:r>
      <w:r w:rsidR="001E3D80" w:rsidRPr="001E3D80">
        <w:t>incluindo serviços financeiros digitais que não os fornecidos pelos operadores móveis</w:t>
      </w:r>
      <w:r w:rsidRPr="007C59C5">
        <w:t xml:space="preserve"> e, consequentemente, de acelerar a inclusão financeira destas populações.</w:t>
      </w:r>
    </w:p>
    <w:p w14:paraId="5BFA1B35" w14:textId="2036FFD7" w:rsidR="00B26039" w:rsidRPr="007C59C5" w:rsidRDefault="00892593" w:rsidP="005E137D">
      <w:r w:rsidRPr="007C59C5">
        <w:t>Para promover este objetivo, o artigo 121 da lei n°</w:t>
      </w:r>
      <w:r w:rsidRPr="007C59C5">
        <w:rPr>
          <w:highlight w:val="lightGray"/>
        </w:rPr>
        <w:t>[•]</w:t>
      </w:r>
      <w:r w:rsidRPr="007C59C5">
        <w:t xml:space="preserve"> de Base das comunicações electrónicas </w:t>
      </w:r>
      <w:r w:rsidR="00CE26CD">
        <w:t>estabelece</w:t>
      </w:r>
      <w:r w:rsidR="00CE26CD" w:rsidRPr="007C59C5">
        <w:t xml:space="preserve"> </w:t>
      </w:r>
      <w:r w:rsidR="00E60298" w:rsidRPr="007C59C5">
        <w:t xml:space="preserve">que </w:t>
      </w:r>
      <w:r w:rsidRPr="007C59C5">
        <w:t>i) o</w:t>
      </w:r>
      <w:r w:rsidR="00B26039" w:rsidRPr="007C59C5">
        <w:t>s operadores de radiocomunicações são obrigados a fornecer acesso ao seu canal USSD (ou seja, serviço suplementar para dados não estruturados), bem como aos serviços conexos e informações aferentes, em condições e circunstâncias equivalentes, aos fornecedores de serviços de valor acrescentado e aos agregadores de USSD e com o mesmo nível de qualidade de serviço que asseguram aos seus próprios serviços ou aos das suas filiais ou parceiros</w:t>
      </w:r>
      <w:r w:rsidRPr="007C59C5">
        <w:t xml:space="preserve"> e ii) </w:t>
      </w:r>
      <w:r w:rsidR="00B26039" w:rsidRPr="007C59C5">
        <w:t xml:space="preserve">ARN </w:t>
      </w:r>
      <w:r w:rsidRPr="007C59C5">
        <w:t>pode</w:t>
      </w:r>
      <w:r w:rsidR="00B26039" w:rsidRPr="007C59C5">
        <w:t xml:space="preserve"> </w:t>
      </w:r>
      <w:r w:rsidR="00B26039" w:rsidRPr="007C59C5">
        <w:rPr>
          <w:highlight w:val="lightGray"/>
        </w:rPr>
        <w:t xml:space="preserve">adoptar uma decisão </w:t>
      </w:r>
      <w:r w:rsidR="00B26039" w:rsidRPr="007C59C5">
        <w:t xml:space="preserve">que especifique as condições técnicas e tarifárias </w:t>
      </w:r>
      <w:r w:rsidRPr="007C59C5">
        <w:t xml:space="preserve">da sua </w:t>
      </w:r>
      <w:r w:rsidR="00B26039" w:rsidRPr="007C59C5">
        <w:t xml:space="preserve"> aplicação.</w:t>
      </w:r>
    </w:p>
    <w:p w14:paraId="492F18BD" w14:textId="7E3C4472" w:rsidR="00FA2D29" w:rsidRPr="007C59C5" w:rsidRDefault="001E3D80" w:rsidP="005E137D">
      <w:r w:rsidRPr="001E3D80">
        <w:t>Assim, após o procedimento de consulta pública, através do Aviso …. ,o Conselho de Administração no uso das prerrogativas legais que lhe são conferidas pelo artigo ……...na sua reunião ordinária do dia …. delibera o seguinte:</w:t>
      </w:r>
      <w:r w:rsidR="00892593" w:rsidRPr="007C59C5">
        <w:t>:</w:t>
      </w:r>
    </w:p>
    <w:p w14:paraId="4E3C1D8B" w14:textId="77777777" w:rsidR="005E137D" w:rsidRPr="007C59C5" w:rsidRDefault="005E137D" w:rsidP="005E137D">
      <w:pPr>
        <w:jc w:val="left"/>
        <w:rPr>
          <w:rFonts w:cs="Calibri"/>
        </w:rPr>
      </w:pPr>
    </w:p>
    <w:p w14:paraId="187171BB" w14:textId="4704101E" w:rsidR="00FA2D29" w:rsidRPr="007C59C5" w:rsidRDefault="00FA2D29" w:rsidP="005E137D">
      <w:pPr>
        <w:pStyle w:val="Paragraphedeliste"/>
        <w:numPr>
          <w:ilvl w:val="0"/>
          <w:numId w:val="7"/>
        </w:numPr>
        <w:jc w:val="left"/>
        <w:rPr>
          <w:rFonts w:cs="Calibri"/>
        </w:rPr>
      </w:pPr>
      <w:r w:rsidRPr="007C59C5">
        <w:rPr>
          <w:rFonts w:cs="Calibri"/>
        </w:rPr>
        <w:t>Objeto</w:t>
      </w:r>
    </w:p>
    <w:p w14:paraId="5324D28C" w14:textId="7B965163" w:rsidR="00FA2D29" w:rsidRPr="007C59C5" w:rsidRDefault="00FA2D29" w:rsidP="005E137D">
      <w:r w:rsidRPr="007C59C5">
        <w:t>O objetivo da presente decisão é determinar os termos e as condições de abertura, acesso e exploração do canal USSD dos operadores de comunicações electrónicas para a prestação de serviços de valor acrescentado (VAS) nas redes móveis pelos prestadores desses serviços e pelos agregadores USSD.</w:t>
      </w:r>
    </w:p>
    <w:p w14:paraId="46AE26DE" w14:textId="030DF23C" w:rsidR="00FA2D29" w:rsidRPr="007C59C5" w:rsidRDefault="00FA2D29" w:rsidP="005E137D">
      <w:pPr>
        <w:rPr>
          <w:rFonts w:cs="Calibri"/>
        </w:rPr>
      </w:pPr>
    </w:p>
    <w:p w14:paraId="2215DC9B" w14:textId="331617D7" w:rsidR="00FA2D29" w:rsidRPr="007C59C5" w:rsidRDefault="00FA2D29" w:rsidP="005E137D">
      <w:pPr>
        <w:pStyle w:val="Paragraphedeliste"/>
        <w:numPr>
          <w:ilvl w:val="0"/>
          <w:numId w:val="7"/>
        </w:numPr>
        <w:jc w:val="left"/>
        <w:rPr>
          <w:rFonts w:cs="Calibri"/>
        </w:rPr>
      </w:pPr>
      <w:r w:rsidRPr="007C59C5">
        <w:rPr>
          <w:rFonts w:cs="Calibri"/>
        </w:rPr>
        <w:t xml:space="preserve">Definições </w:t>
      </w:r>
    </w:p>
    <w:p w14:paraId="3BBCE480" w14:textId="1EF51006" w:rsidR="00FA2D29" w:rsidRPr="007C59C5" w:rsidRDefault="00FA2D29" w:rsidP="005E137D">
      <w:pPr>
        <w:rPr>
          <w:rFonts w:cs="Calibri"/>
        </w:rPr>
      </w:pPr>
      <w:r w:rsidRPr="007C59C5">
        <w:rPr>
          <w:rFonts w:cs="Calibri"/>
        </w:rPr>
        <w:t>Para efeitos da presente decisão</w:t>
      </w:r>
      <w:r w:rsidR="005E137D" w:rsidRPr="007C59C5">
        <w:rPr>
          <w:rFonts w:cs="Calibri"/>
        </w:rPr>
        <w:t>, entende-se por:</w:t>
      </w:r>
    </w:p>
    <w:p w14:paraId="2D31170E" w14:textId="5DDC813F" w:rsidR="00FA2D29" w:rsidRPr="007C59C5" w:rsidRDefault="005E137D" w:rsidP="000C4A76">
      <w:pPr>
        <w:pStyle w:val="Style2"/>
        <w:rPr>
          <w:lang w:val="pt-PT"/>
        </w:rPr>
      </w:pPr>
      <w:r w:rsidRPr="007C59C5">
        <w:rPr>
          <w:b/>
          <w:bCs/>
          <w:lang w:val="pt-PT"/>
        </w:rPr>
        <w:t>“</w:t>
      </w:r>
      <w:r w:rsidR="00FA2D29" w:rsidRPr="007C59C5">
        <w:rPr>
          <w:b/>
          <w:bCs/>
          <w:lang w:val="pt-PT"/>
        </w:rPr>
        <w:t xml:space="preserve">Agregador </w:t>
      </w:r>
      <w:r w:rsidR="00FA2D29" w:rsidRPr="007C59C5">
        <w:rPr>
          <w:b/>
          <w:bCs/>
          <w:i/>
          <w:iCs/>
          <w:lang w:val="pt-PT"/>
        </w:rPr>
        <w:t>USSD</w:t>
      </w:r>
      <w:r w:rsidRPr="007C59C5">
        <w:rPr>
          <w:b/>
          <w:bCs/>
          <w:i/>
          <w:iCs/>
          <w:lang w:val="pt-PT"/>
        </w:rPr>
        <w:t>”</w:t>
      </w:r>
      <w:r w:rsidR="00FA2D29" w:rsidRPr="007C59C5">
        <w:rPr>
          <w:lang w:val="pt-PT"/>
        </w:rPr>
        <w:t xml:space="preserve">: um agente económico independente cuja atividade consiste em comprar capacidade USSD a vários operadores de telecomunicações e revendê-la aos </w:t>
      </w:r>
      <w:r w:rsidR="001E3D80" w:rsidRPr="001E3D80">
        <w:rPr>
          <w:lang w:val="pt-PT"/>
        </w:rPr>
        <w:t xml:space="preserve">Prestadores de serviços de valor acrescentado </w:t>
      </w:r>
      <w:r w:rsidR="001E3D80">
        <w:rPr>
          <w:lang w:val="pt-PT"/>
        </w:rPr>
        <w:t>(</w:t>
      </w:r>
      <w:r w:rsidR="00FA2D29" w:rsidRPr="001E3D80">
        <w:rPr>
          <w:b/>
          <w:bCs/>
          <w:lang w:val="pt-PT"/>
        </w:rPr>
        <w:t>FSVA</w:t>
      </w:r>
      <w:r w:rsidR="001E3D80">
        <w:rPr>
          <w:lang w:val="pt-PT"/>
        </w:rPr>
        <w:t>)</w:t>
      </w:r>
      <w:r w:rsidR="00FA2D29" w:rsidRPr="007C59C5">
        <w:rPr>
          <w:lang w:val="pt-PT"/>
        </w:rPr>
        <w:t>.</w:t>
      </w:r>
    </w:p>
    <w:p w14:paraId="4F4E5185" w14:textId="726BB191" w:rsidR="00FA2D29" w:rsidRPr="007C59C5" w:rsidRDefault="005E137D" w:rsidP="000C4A76">
      <w:pPr>
        <w:pStyle w:val="Style2"/>
        <w:rPr>
          <w:lang w:val="pt-PT"/>
        </w:rPr>
      </w:pPr>
      <w:r w:rsidRPr="007C59C5">
        <w:rPr>
          <w:b/>
          <w:bCs/>
          <w:lang w:val="pt-PT"/>
        </w:rPr>
        <w:t>“</w:t>
      </w:r>
      <w:r w:rsidR="00FA2D29" w:rsidRPr="007C59C5">
        <w:rPr>
          <w:b/>
          <w:bCs/>
          <w:lang w:val="pt-PT"/>
        </w:rPr>
        <w:t>Serviços de Valor Acrescentado (SVA)</w:t>
      </w:r>
      <w:r w:rsidRPr="007C59C5">
        <w:rPr>
          <w:b/>
          <w:bCs/>
          <w:lang w:val="pt-PT"/>
        </w:rPr>
        <w:t>”</w:t>
      </w:r>
      <w:r w:rsidR="00FA2D29" w:rsidRPr="007C59C5">
        <w:rPr>
          <w:lang w:val="pt-PT"/>
        </w:rPr>
        <w:t xml:space="preserve">: serviços definidos pela </w:t>
      </w:r>
      <w:r w:rsidRPr="007C59C5">
        <w:rPr>
          <w:lang w:val="pt-PT"/>
        </w:rPr>
        <w:t>lei n°</w:t>
      </w:r>
      <w:r w:rsidRPr="007C59C5">
        <w:rPr>
          <w:b/>
          <w:bCs/>
          <w:lang w:val="pt-PT"/>
        </w:rPr>
        <w:t xml:space="preserve">[•] </w:t>
      </w:r>
      <w:r w:rsidRPr="007C59C5">
        <w:rPr>
          <w:lang w:val="pt-PT"/>
        </w:rPr>
        <w:t>de Base das comunicações electrónicas</w:t>
      </w:r>
      <w:r w:rsidR="00FA2D29" w:rsidRPr="007C59C5">
        <w:rPr>
          <w:b/>
          <w:bCs/>
          <w:lang w:val="pt-PT"/>
        </w:rPr>
        <w:t xml:space="preserve"> </w:t>
      </w:r>
      <w:r w:rsidR="00FA2D29" w:rsidRPr="007C59C5">
        <w:rPr>
          <w:lang w:val="pt-PT"/>
        </w:rPr>
        <w:t xml:space="preserve">que incluem, entre outros, serviços financeiros acessíveis através da utilização de um telemóvel, incluindo serviços transacionais como pagamentos, crédito, poupanças, transferências de fundos e seguros, e serviços não transacionais como </w:t>
      </w:r>
      <w:r w:rsidR="00FA2D29" w:rsidRPr="007C59C5">
        <w:rPr>
          <w:lang w:val="pt-PT"/>
        </w:rPr>
        <w:lastRenderedPageBreak/>
        <w:t>a consulta de informações financeiras.</w:t>
      </w:r>
    </w:p>
    <w:p w14:paraId="0A9A4891" w14:textId="11C8B10D" w:rsidR="00FA2D29" w:rsidRPr="007C59C5" w:rsidRDefault="005E137D" w:rsidP="000C4A76">
      <w:pPr>
        <w:pStyle w:val="Style2"/>
        <w:rPr>
          <w:lang w:val="pt-PT"/>
        </w:rPr>
      </w:pPr>
      <w:r w:rsidRPr="007C59C5">
        <w:rPr>
          <w:lang w:val="pt-PT"/>
        </w:rPr>
        <w:t>“</w:t>
      </w:r>
      <w:r w:rsidR="00FA2D29" w:rsidRPr="007C59C5">
        <w:rPr>
          <w:lang w:val="pt-PT"/>
        </w:rPr>
        <w:t>Prestadores de serviços de valor acrescentado (VAS)</w:t>
      </w:r>
      <w:r w:rsidRPr="007C59C5">
        <w:rPr>
          <w:lang w:val="pt-PT"/>
        </w:rPr>
        <w:t>”</w:t>
      </w:r>
      <w:r w:rsidR="00FA2D29" w:rsidRPr="007C59C5">
        <w:rPr>
          <w:lang w:val="pt-PT"/>
        </w:rPr>
        <w:t xml:space="preserve">: prestadores dos serviços acima referidos </w:t>
      </w:r>
    </w:p>
    <w:p w14:paraId="5BDE8FB5" w14:textId="77C340C5" w:rsidR="00FA2D29" w:rsidRPr="007C59C5" w:rsidRDefault="005E137D" w:rsidP="000C4A76">
      <w:pPr>
        <w:pStyle w:val="Style2"/>
        <w:rPr>
          <w:lang w:val="pt-PT"/>
        </w:rPr>
      </w:pPr>
      <w:r w:rsidRPr="007C59C5">
        <w:rPr>
          <w:b/>
          <w:bCs/>
          <w:i/>
          <w:iCs/>
          <w:lang w:val="pt-PT"/>
        </w:rPr>
        <w:t>“</w:t>
      </w:r>
      <w:r w:rsidR="00FA2D29" w:rsidRPr="007C59C5">
        <w:rPr>
          <w:b/>
          <w:bCs/>
          <w:i/>
          <w:iCs/>
          <w:lang w:val="pt-PT"/>
        </w:rPr>
        <w:t>Unstructured Supplementary Service Data</w:t>
      </w:r>
      <w:r w:rsidR="00FA2D29" w:rsidRPr="007C59C5">
        <w:rPr>
          <w:b/>
          <w:bCs/>
          <w:lang w:val="pt-PT"/>
        </w:rPr>
        <w:t xml:space="preserve"> (</w:t>
      </w:r>
      <w:r w:rsidR="00FA2D29" w:rsidRPr="007C59C5">
        <w:rPr>
          <w:b/>
          <w:bCs/>
          <w:i/>
          <w:iCs/>
          <w:lang w:val="pt-PT"/>
        </w:rPr>
        <w:t>USSD</w:t>
      </w:r>
      <w:r w:rsidR="00FA2D29" w:rsidRPr="007C59C5">
        <w:rPr>
          <w:b/>
          <w:bCs/>
          <w:lang w:val="pt-PT"/>
        </w:rPr>
        <w:t>)</w:t>
      </w:r>
      <w:r w:rsidRPr="007C59C5">
        <w:rPr>
          <w:b/>
          <w:bCs/>
          <w:lang w:val="pt-PT"/>
        </w:rPr>
        <w:t>”</w:t>
      </w:r>
      <w:r w:rsidR="00FA2D29" w:rsidRPr="007C59C5">
        <w:rPr>
          <w:lang w:val="pt-PT"/>
        </w:rPr>
        <w:t>: Tecnologia de comunicação utilizada para enviar texto entre um telemóvel e um programa de aplicação na rede.</w:t>
      </w:r>
    </w:p>
    <w:p w14:paraId="043BF2F7" w14:textId="77777777" w:rsidR="00FA2D29" w:rsidRPr="007C59C5" w:rsidRDefault="00FA2D29" w:rsidP="005E137D">
      <w:pPr>
        <w:rPr>
          <w:rFonts w:cs="Calibri"/>
        </w:rPr>
      </w:pPr>
    </w:p>
    <w:p w14:paraId="0AE4A9E7" w14:textId="160F8A07" w:rsidR="00FA2D29" w:rsidRPr="007C59C5" w:rsidRDefault="00FA2D29" w:rsidP="005E137D">
      <w:pPr>
        <w:pStyle w:val="Paragraphedeliste"/>
        <w:numPr>
          <w:ilvl w:val="0"/>
          <w:numId w:val="7"/>
        </w:numPr>
        <w:jc w:val="left"/>
        <w:rPr>
          <w:rFonts w:cs="Calibri"/>
        </w:rPr>
      </w:pPr>
      <w:r w:rsidRPr="007C59C5">
        <w:rPr>
          <w:rFonts w:cs="Calibri"/>
        </w:rPr>
        <w:t xml:space="preserve">Obrigação de conceder pedidos de acesso ao canal de acesso USSD </w:t>
      </w:r>
    </w:p>
    <w:p w14:paraId="0156B0EE" w14:textId="4A7B7FEB" w:rsidR="00FA2D29" w:rsidRPr="007C59C5" w:rsidRDefault="00FA2D29" w:rsidP="005E137D">
      <w:r w:rsidRPr="007C59C5">
        <w:t xml:space="preserve">Os operadores de </w:t>
      </w:r>
      <w:r w:rsidR="005E137D" w:rsidRPr="007C59C5">
        <w:t xml:space="preserve">comunicações electrónicas </w:t>
      </w:r>
      <w:r w:rsidRPr="007C59C5">
        <w:t>móveis são obrigados a conceder, em condições objectivas, transparentes e não discriminatórias, qualquer pedido de acesso ao seu canal USSD por parte dos prestadores de serviços de valor acrescentado e dos agregadores USSD.</w:t>
      </w:r>
    </w:p>
    <w:p w14:paraId="369E4E08" w14:textId="77777777" w:rsidR="005E137D" w:rsidRPr="007C59C5" w:rsidRDefault="005E137D" w:rsidP="005E137D">
      <w:pPr>
        <w:jc w:val="left"/>
        <w:rPr>
          <w:rFonts w:cs="Calibri"/>
        </w:rPr>
      </w:pPr>
    </w:p>
    <w:p w14:paraId="03D92129" w14:textId="0234DAF5" w:rsidR="00FA2D29" w:rsidRPr="007C59C5" w:rsidRDefault="00FA2D29" w:rsidP="005E137D">
      <w:pPr>
        <w:pStyle w:val="Paragraphedeliste"/>
        <w:numPr>
          <w:ilvl w:val="0"/>
          <w:numId w:val="7"/>
        </w:numPr>
        <w:jc w:val="left"/>
        <w:rPr>
          <w:rFonts w:cs="Calibri"/>
        </w:rPr>
      </w:pPr>
      <w:r w:rsidRPr="007C59C5">
        <w:rPr>
          <w:rFonts w:cs="Calibri"/>
        </w:rPr>
        <w:t xml:space="preserve">Requisitos de elegibilidade para aceder aos canais USSD dos operadores </w:t>
      </w:r>
    </w:p>
    <w:p w14:paraId="3BD9E04F" w14:textId="43A444EC" w:rsidR="00FA2D29" w:rsidRPr="007C59C5" w:rsidRDefault="00FA2D29" w:rsidP="005E137D">
      <w:pPr>
        <w:rPr>
          <w:rFonts w:cs="Calibri"/>
        </w:rPr>
      </w:pPr>
      <w:r w:rsidRPr="007C59C5">
        <w:rPr>
          <w:rFonts w:cs="Calibri"/>
        </w:rPr>
        <w:t xml:space="preserve">Para poder beneficiar do acesso ao canal USSD dos operadores de </w:t>
      </w:r>
      <w:r w:rsidR="005E137D" w:rsidRPr="007C59C5">
        <w:rPr>
          <w:rFonts w:cs="Calibri"/>
        </w:rPr>
        <w:t xml:space="preserve">comunicações electrónicas </w:t>
      </w:r>
      <w:r w:rsidRPr="007C59C5">
        <w:rPr>
          <w:rFonts w:cs="Calibri"/>
        </w:rPr>
        <w:t xml:space="preserve">móveis, o candidato deve ser declarado à </w:t>
      </w:r>
      <w:r w:rsidR="005E137D" w:rsidRPr="007C59C5">
        <w:rPr>
          <w:rFonts w:cs="Calibri"/>
        </w:rPr>
        <w:t>ARN</w:t>
      </w:r>
      <w:r w:rsidRPr="007C59C5">
        <w:rPr>
          <w:rFonts w:cs="Calibri"/>
        </w:rPr>
        <w:t xml:space="preserve"> como </w:t>
      </w:r>
      <w:r w:rsidR="001E3D80">
        <w:rPr>
          <w:rFonts w:cs="Calibri"/>
        </w:rPr>
        <w:t>P</w:t>
      </w:r>
      <w:r w:rsidR="001E3D80" w:rsidRPr="007C59C5">
        <w:rPr>
          <w:rFonts w:cs="Calibri"/>
        </w:rPr>
        <w:t xml:space="preserve">restador </w:t>
      </w:r>
      <w:r w:rsidRPr="007C59C5">
        <w:rPr>
          <w:rFonts w:cs="Calibri"/>
        </w:rPr>
        <w:t xml:space="preserve">de </w:t>
      </w:r>
      <w:r w:rsidR="001E3D80">
        <w:t>SVA</w:t>
      </w:r>
      <w:r w:rsidR="001E3D80" w:rsidRPr="001E3D80">
        <w:t xml:space="preserve"> </w:t>
      </w:r>
      <w:r w:rsidRPr="007C59C5">
        <w:rPr>
          <w:rFonts w:cs="Calibri"/>
        </w:rPr>
        <w:t>ou agregador USSD, de acordo com o procedimento de declaração aplicável aos serviços de valor acrescentado.</w:t>
      </w:r>
    </w:p>
    <w:p w14:paraId="307F1C4E" w14:textId="77777777" w:rsidR="00FA2D29" w:rsidRPr="007C59C5" w:rsidRDefault="00FA2D29" w:rsidP="005E137D">
      <w:pPr>
        <w:pStyle w:val="Paragraphedeliste"/>
        <w:ind w:left="360"/>
        <w:rPr>
          <w:rFonts w:cs="Calibri"/>
        </w:rPr>
      </w:pPr>
    </w:p>
    <w:p w14:paraId="176D9B81" w14:textId="2A7EDBCE" w:rsidR="00FA2D29" w:rsidRPr="007C59C5" w:rsidRDefault="00FA2D29" w:rsidP="005E137D">
      <w:pPr>
        <w:pStyle w:val="Paragraphedeliste"/>
        <w:numPr>
          <w:ilvl w:val="0"/>
          <w:numId w:val="7"/>
        </w:numPr>
        <w:jc w:val="left"/>
        <w:rPr>
          <w:rFonts w:cs="Calibri"/>
        </w:rPr>
      </w:pPr>
      <w:r w:rsidRPr="007C59C5">
        <w:rPr>
          <w:rFonts w:cs="Calibri"/>
        </w:rPr>
        <w:t xml:space="preserve">Condições de acesso </w:t>
      </w:r>
    </w:p>
    <w:p w14:paraId="2D1F8E22" w14:textId="4E7B93A0" w:rsidR="00FA2D29" w:rsidRPr="007C59C5" w:rsidRDefault="00FA2D29" w:rsidP="000C4A76">
      <w:pPr>
        <w:pStyle w:val="Style2"/>
        <w:numPr>
          <w:ilvl w:val="0"/>
          <w:numId w:val="10"/>
        </w:numPr>
        <w:rPr>
          <w:lang w:val="pt-PT"/>
        </w:rPr>
      </w:pPr>
      <w:r w:rsidRPr="007C59C5">
        <w:rPr>
          <w:lang w:val="pt-PT"/>
        </w:rPr>
        <w:t>Não-discriminação</w:t>
      </w:r>
      <w:r w:rsidR="005E137D" w:rsidRPr="007C59C5">
        <w:rPr>
          <w:lang w:val="pt-PT"/>
        </w:rPr>
        <w:t>:</w:t>
      </w:r>
    </w:p>
    <w:p w14:paraId="2E9C6A4C" w14:textId="469DA2D3" w:rsidR="00FA2D29" w:rsidRPr="007C59C5" w:rsidRDefault="00FA2D29" w:rsidP="005E137D">
      <w:pPr>
        <w:pStyle w:val="Style1"/>
      </w:pPr>
      <w:r w:rsidRPr="007C59C5">
        <w:t xml:space="preserve">Os operadores </w:t>
      </w:r>
      <w:r w:rsidR="005E137D" w:rsidRPr="007C59C5">
        <w:t>de comunicações electrónicas móveis</w:t>
      </w:r>
      <w:r w:rsidRPr="007C59C5">
        <w:t xml:space="preserve"> são obrigados a fornecer acesso ao seu canal USSD e aos serviços associados e informações conexas em condições e circunstâncias equivalentes, a todos os fornecedores de serviços de valor acrescentado e agregadores USSD e com a mesma qualidade de serviço que fornecem aos seus próprios serviços ou aos das suas filiais ou parceiros. </w:t>
      </w:r>
    </w:p>
    <w:p w14:paraId="41A6A513" w14:textId="161E1A5B" w:rsidR="00FA2D29" w:rsidRPr="007C59C5" w:rsidRDefault="00FA2D29" w:rsidP="005E137D">
      <w:pPr>
        <w:pStyle w:val="Style1"/>
      </w:pPr>
      <w:r w:rsidRPr="007C59C5">
        <w:t>Um pedido de ligação à rede</w:t>
      </w:r>
      <w:r w:rsidR="00915418">
        <w:t>,</w:t>
      </w:r>
      <w:r w:rsidRPr="007C59C5">
        <w:t xml:space="preserve"> por parte de um fornecedor de serviços de valor acrescentado ou de um agregador USSD</w:t>
      </w:r>
      <w:r w:rsidR="00915418">
        <w:t>,</w:t>
      </w:r>
      <w:r w:rsidRPr="007C59C5">
        <w:t xml:space="preserve"> não pode ser recusado se for justificado em termos das necessidades do requerente e da capacidade do operador para as satisfazer.</w:t>
      </w:r>
    </w:p>
    <w:p w14:paraId="31179DF9" w14:textId="77777777" w:rsidR="00FA2D29" w:rsidRPr="007C59C5" w:rsidRDefault="00FA2D29" w:rsidP="005E137D">
      <w:pPr>
        <w:pStyle w:val="Style1"/>
      </w:pPr>
      <w:r w:rsidRPr="007C59C5">
        <w:t>A entidade reguladora deve ser notificada de qualquer recusa de ligação ou interligação por parte do prestador de serviços de valor acrescentado ou do agregador USSD.</w:t>
      </w:r>
    </w:p>
    <w:p w14:paraId="72142BA7" w14:textId="3BA2637D" w:rsidR="00FA2D29" w:rsidRPr="007C59C5" w:rsidRDefault="00FA2D29" w:rsidP="000C4A76">
      <w:pPr>
        <w:pStyle w:val="Style2"/>
        <w:numPr>
          <w:ilvl w:val="0"/>
          <w:numId w:val="10"/>
        </w:numPr>
        <w:rPr>
          <w:lang w:val="pt-PT"/>
        </w:rPr>
      </w:pPr>
      <w:r w:rsidRPr="007C59C5">
        <w:rPr>
          <w:lang w:val="pt-PT"/>
        </w:rPr>
        <w:t>Transparência</w:t>
      </w:r>
      <w:r w:rsidR="00E60298" w:rsidRPr="007C59C5">
        <w:rPr>
          <w:lang w:val="pt-PT"/>
        </w:rPr>
        <w:t>:</w:t>
      </w:r>
    </w:p>
    <w:p w14:paraId="0ADB897A" w14:textId="6593EF0F" w:rsidR="00FA2D29" w:rsidRPr="007C59C5" w:rsidRDefault="00FA2D29" w:rsidP="005E137D">
      <w:pPr>
        <w:pStyle w:val="Style1"/>
        <w:numPr>
          <w:ilvl w:val="0"/>
          <w:numId w:val="14"/>
        </w:numPr>
      </w:pPr>
      <w:r w:rsidRPr="007C59C5">
        <w:t xml:space="preserve">Os operadores </w:t>
      </w:r>
      <w:r w:rsidR="005E137D" w:rsidRPr="007C59C5">
        <w:t>de comunicações electrónicas móveis</w:t>
      </w:r>
      <w:r w:rsidRPr="007C59C5">
        <w:t xml:space="preserve"> são obrigados a publicar anualmente</w:t>
      </w:r>
      <w:r w:rsidR="00915418">
        <w:t>,</w:t>
      </w:r>
      <w:r w:rsidRPr="007C59C5">
        <w:t xml:space="preserve"> uma oferta de referência para acesso ao canal USSD aprovada pela </w:t>
      </w:r>
      <w:r w:rsidR="005E137D" w:rsidRPr="007C59C5">
        <w:t>ARN</w:t>
      </w:r>
      <w:r w:rsidRPr="007C59C5">
        <w:t xml:space="preserve"> nas condições aplicáveis aos catálogos de interligação e/ou acesso.</w:t>
      </w:r>
    </w:p>
    <w:p w14:paraId="2335BEB3" w14:textId="77777777" w:rsidR="00FA2D29" w:rsidRPr="007C59C5" w:rsidRDefault="00FA2D29" w:rsidP="005E137D">
      <w:pPr>
        <w:pStyle w:val="Style1"/>
      </w:pPr>
      <w:r w:rsidRPr="007C59C5">
        <w:t>A oferta de referência supramencionada inclui o acesso ao canal USSD, bem como os serviços associados, e inclui, pelo menos, os serviços e as disposições estabelecidos no anexo à presente decisão relativos ao conteúdo mínimo da oferta de referência para o acesso ao canal USSD.</w:t>
      </w:r>
    </w:p>
    <w:p w14:paraId="5FE1A767" w14:textId="6E396398" w:rsidR="00FA2D29" w:rsidRPr="007C59C5" w:rsidRDefault="00FA2D29" w:rsidP="005E137D">
      <w:pPr>
        <w:pStyle w:val="Style1"/>
      </w:pPr>
      <w:r w:rsidRPr="007C59C5">
        <w:t xml:space="preserve">A oferta de referência não pode ser alterada sem o acordo prévio da </w:t>
      </w:r>
      <w:r w:rsidR="005E137D" w:rsidRPr="007C59C5">
        <w:t>ARN</w:t>
      </w:r>
      <w:r w:rsidRPr="007C59C5">
        <w:t>.</w:t>
      </w:r>
    </w:p>
    <w:p w14:paraId="6EDFF41B" w14:textId="0FF4E475" w:rsidR="00FA2D29" w:rsidRPr="007C59C5" w:rsidRDefault="00FA2D29" w:rsidP="005E137D">
      <w:pPr>
        <w:pStyle w:val="Style1"/>
      </w:pPr>
      <w:r w:rsidRPr="007C59C5">
        <w:t xml:space="preserve">Qualquer alteração das condições técnicas ou de preços da oferta de referência validada pela Autoridade deve ser comunicada aos prestadores de serviços de valor acrescentado ou aos agregadores de USSD pelo menos seis (6) meses antes da sua </w:t>
      </w:r>
      <w:r w:rsidRPr="007C59C5">
        <w:lastRenderedPageBreak/>
        <w:t xml:space="preserve">aplicação, com exceção das reduções de preços, que podem ser comunicadas um mês antes. </w:t>
      </w:r>
    </w:p>
    <w:p w14:paraId="20A499E9" w14:textId="1599EBB1" w:rsidR="00FA2D29" w:rsidRPr="007C59C5" w:rsidRDefault="00FA2D29" w:rsidP="000C4A76">
      <w:pPr>
        <w:pStyle w:val="Style2"/>
        <w:numPr>
          <w:ilvl w:val="0"/>
          <w:numId w:val="10"/>
        </w:numPr>
        <w:rPr>
          <w:lang w:val="pt-PT"/>
        </w:rPr>
      </w:pPr>
      <w:r w:rsidRPr="007C59C5">
        <w:rPr>
          <w:lang w:val="pt-PT"/>
        </w:rPr>
        <w:t>Os operadores de comunicações electrónicas móveis são obrigados a suportar quaisquer custos incorridos com a modificação das instalações/equipamentos dos prestadores de serviços de valor acrescentado ou dos agregadores de USSD afectados pela modificação da sua oferta de referência, exceto nos casos em que o custo dessas modificações é partilhado entre as partes:</w:t>
      </w:r>
    </w:p>
    <w:p w14:paraId="65B13AE9" w14:textId="77777777" w:rsidR="00FA2D29" w:rsidRPr="007C59C5" w:rsidRDefault="00FA2D29" w:rsidP="005E137D">
      <w:pPr>
        <w:pStyle w:val="Style1"/>
        <w:numPr>
          <w:ilvl w:val="0"/>
          <w:numId w:val="17"/>
        </w:numPr>
      </w:pPr>
      <w:r w:rsidRPr="007C59C5">
        <w:t>As alterações introduzidas beneficiaram ambas as partes:</w:t>
      </w:r>
    </w:p>
    <w:p w14:paraId="5B2DF07B" w14:textId="77777777" w:rsidR="00FA2D29" w:rsidRPr="007C59C5" w:rsidRDefault="00FA2D29" w:rsidP="005E137D">
      <w:pPr>
        <w:pStyle w:val="Style1"/>
        <w:numPr>
          <w:ilvl w:val="0"/>
          <w:numId w:val="14"/>
        </w:numPr>
      </w:pPr>
      <w:r w:rsidRPr="007C59C5">
        <w:t>as alterações foram decididas pela autoridade reguladora;</w:t>
      </w:r>
    </w:p>
    <w:p w14:paraId="0C6F97D9" w14:textId="77777777" w:rsidR="00FA2D29" w:rsidRPr="007C59C5" w:rsidRDefault="00FA2D29" w:rsidP="005E137D">
      <w:pPr>
        <w:pStyle w:val="Style1"/>
        <w:numPr>
          <w:ilvl w:val="0"/>
          <w:numId w:val="14"/>
        </w:numPr>
      </w:pPr>
      <w:r w:rsidRPr="007C59C5">
        <w:t xml:space="preserve">As alterações introduzidas destinam-se a garantir a conformidade com as normas internacionais em vigor; </w:t>
      </w:r>
    </w:p>
    <w:p w14:paraId="3021084B" w14:textId="77777777" w:rsidR="00FA2D29" w:rsidRPr="007C59C5" w:rsidRDefault="00FA2D29" w:rsidP="005E137D">
      <w:pPr>
        <w:pStyle w:val="Paragraphedeliste"/>
        <w:ind w:left="714"/>
        <w:rPr>
          <w:rFonts w:cs="Calibri"/>
        </w:rPr>
      </w:pPr>
    </w:p>
    <w:p w14:paraId="7E480261" w14:textId="77777777" w:rsidR="00FA2D29" w:rsidRPr="007C59C5" w:rsidRDefault="00FA2D29" w:rsidP="005E137D">
      <w:pPr>
        <w:pStyle w:val="Paragraphedeliste"/>
        <w:numPr>
          <w:ilvl w:val="0"/>
          <w:numId w:val="7"/>
        </w:numPr>
        <w:jc w:val="left"/>
        <w:rPr>
          <w:rFonts w:cs="Calibri"/>
        </w:rPr>
      </w:pPr>
      <w:r w:rsidRPr="007C59C5">
        <w:rPr>
          <w:rFonts w:cs="Calibri"/>
        </w:rPr>
        <w:t xml:space="preserve">Acordo de acesso ao canal USSD </w:t>
      </w:r>
    </w:p>
    <w:p w14:paraId="2B903AFA" w14:textId="52D7EA35" w:rsidR="00FA2D29" w:rsidRPr="007C59C5" w:rsidRDefault="00FA2D29" w:rsidP="000C4A76">
      <w:pPr>
        <w:pStyle w:val="Style2"/>
        <w:numPr>
          <w:ilvl w:val="0"/>
          <w:numId w:val="18"/>
        </w:numPr>
        <w:rPr>
          <w:lang w:val="pt-PT"/>
        </w:rPr>
      </w:pPr>
      <w:r w:rsidRPr="007C59C5">
        <w:rPr>
          <w:lang w:val="pt-PT"/>
        </w:rPr>
        <w:t xml:space="preserve">Um acordo comercial vincula o operador de comunicações electrónicas móveis ao prestador de serviços de valor acrescentado ou ao agregador USSD para o fornecimento de acesso ao canal USSD, em conformidade com a oferta de referência supramencionada. </w:t>
      </w:r>
      <w:r w:rsidR="003F0A2C">
        <w:rPr>
          <w:lang w:val="pt-PT"/>
        </w:rPr>
        <w:t>E e</w:t>
      </w:r>
      <w:r w:rsidRPr="007C59C5">
        <w:rPr>
          <w:lang w:val="pt-PT"/>
        </w:rPr>
        <w:t>ste acordo</w:t>
      </w:r>
      <w:r w:rsidR="003F0A2C">
        <w:rPr>
          <w:lang w:val="pt-PT"/>
        </w:rPr>
        <w:t xml:space="preserve"> deve</w:t>
      </w:r>
      <w:r w:rsidRPr="007C59C5">
        <w:rPr>
          <w:lang w:val="pt-PT"/>
        </w:rPr>
        <w:t xml:space="preserve"> cont</w:t>
      </w:r>
      <w:r w:rsidR="003F0A2C">
        <w:rPr>
          <w:lang w:val="pt-PT"/>
        </w:rPr>
        <w:t>er</w:t>
      </w:r>
      <w:r w:rsidRPr="007C59C5">
        <w:rPr>
          <w:lang w:val="pt-PT"/>
        </w:rPr>
        <w:t>, pelo menos :</w:t>
      </w:r>
    </w:p>
    <w:p w14:paraId="5733467C" w14:textId="6468EAB2" w:rsidR="00FA2D29" w:rsidRPr="007C59C5" w:rsidRDefault="00FA2D29" w:rsidP="005E137D">
      <w:pPr>
        <w:pStyle w:val="Style1"/>
        <w:numPr>
          <w:ilvl w:val="0"/>
          <w:numId w:val="19"/>
        </w:numPr>
      </w:pPr>
      <w:r w:rsidRPr="007C59C5">
        <w:t>as características do serviço prestado</w:t>
      </w:r>
      <w:r w:rsidR="003F0A2C">
        <w:t>;</w:t>
      </w:r>
      <w:r w:rsidRPr="007C59C5">
        <w:t xml:space="preserve"> </w:t>
      </w:r>
    </w:p>
    <w:p w14:paraId="6523EFB1" w14:textId="3E97022C" w:rsidR="00FA2D29" w:rsidRPr="007C59C5" w:rsidRDefault="003F0A2C" w:rsidP="005E137D">
      <w:pPr>
        <w:pStyle w:val="Style1"/>
      </w:pPr>
      <w:r>
        <w:t xml:space="preserve">os </w:t>
      </w:r>
      <w:r w:rsidR="00FA2D29" w:rsidRPr="007C59C5">
        <w:t>prazos de execução</w:t>
      </w:r>
      <w:r>
        <w:t>;</w:t>
      </w:r>
      <w:r w:rsidR="00FA2D29" w:rsidRPr="007C59C5">
        <w:t xml:space="preserve"> </w:t>
      </w:r>
    </w:p>
    <w:p w14:paraId="2EAF41AD" w14:textId="1A595E58" w:rsidR="00FA2D29" w:rsidRPr="007C59C5" w:rsidRDefault="003F0A2C" w:rsidP="005E137D">
      <w:pPr>
        <w:pStyle w:val="Style1"/>
      </w:pPr>
      <w:r>
        <w:t xml:space="preserve">as </w:t>
      </w:r>
      <w:r w:rsidR="00FA2D29" w:rsidRPr="007C59C5">
        <w:t>obrigações de qualidade do serviço e sanções aplicáveis em caso de incumprimento</w:t>
      </w:r>
      <w:r>
        <w:t>;</w:t>
      </w:r>
      <w:r w:rsidR="00FA2D29" w:rsidRPr="007C59C5">
        <w:t xml:space="preserve"> </w:t>
      </w:r>
    </w:p>
    <w:p w14:paraId="147764AA" w14:textId="5D31C410" w:rsidR="00FA2D29" w:rsidRPr="007C59C5" w:rsidRDefault="003F0A2C" w:rsidP="005E137D">
      <w:pPr>
        <w:pStyle w:val="Style1"/>
      </w:pPr>
      <w:r>
        <w:t xml:space="preserve">as </w:t>
      </w:r>
      <w:r w:rsidR="00FA2D29" w:rsidRPr="007C59C5">
        <w:t>taxas aplicáveis</w:t>
      </w:r>
      <w:r>
        <w:t>, e</w:t>
      </w:r>
      <w:r w:rsidR="00FA2D29" w:rsidRPr="007C59C5">
        <w:t xml:space="preserve"> </w:t>
      </w:r>
    </w:p>
    <w:p w14:paraId="435D86EE" w14:textId="59874C30" w:rsidR="00FA2D29" w:rsidRPr="007C59C5" w:rsidRDefault="00FA2D29" w:rsidP="005E137D">
      <w:pPr>
        <w:pStyle w:val="Style1"/>
      </w:pPr>
      <w:r w:rsidRPr="007C59C5">
        <w:t>as condições de modificação do serviço</w:t>
      </w:r>
      <w:r w:rsidR="003F0A2C">
        <w:t>.</w:t>
      </w:r>
      <w:r w:rsidRPr="007C59C5">
        <w:t xml:space="preserve"> </w:t>
      </w:r>
    </w:p>
    <w:p w14:paraId="760E22A3" w14:textId="77777777" w:rsidR="00FA2D29" w:rsidRPr="007C59C5" w:rsidRDefault="00FA2D29" w:rsidP="000C4A76">
      <w:pPr>
        <w:pStyle w:val="Style2"/>
        <w:numPr>
          <w:ilvl w:val="0"/>
          <w:numId w:val="18"/>
        </w:numPr>
        <w:rPr>
          <w:lang w:val="pt-PT"/>
        </w:rPr>
      </w:pPr>
      <w:r w:rsidRPr="007C59C5">
        <w:rPr>
          <w:lang w:val="pt-PT"/>
        </w:rPr>
        <w:t>As negociações para a celebração do acordo de acesso ao canal USSD não devem exceder um (1) mês a contar da data do pedido de acesso pelo prestador de serviços de valor acrescentado ou pelo agregador USSD.</w:t>
      </w:r>
    </w:p>
    <w:p w14:paraId="7A51F675" w14:textId="5BF84B71" w:rsidR="001E3D80" w:rsidRDefault="00FA2D29" w:rsidP="000C4A76">
      <w:pPr>
        <w:pStyle w:val="Style2"/>
        <w:numPr>
          <w:ilvl w:val="0"/>
          <w:numId w:val="18"/>
        </w:numPr>
        <w:rPr>
          <w:lang w:val="pt-PT"/>
        </w:rPr>
      </w:pPr>
      <w:r w:rsidRPr="007C59C5">
        <w:rPr>
          <w:lang w:val="pt-PT"/>
        </w:rPr>
        <w:t xml:space="preserve">Na falta de acordo entre as partes no prazo de um mês acima referido, ou na falta de resposta do operador ao pedido de acesso de um </w:t>
      </w:r>
      <w:r w:rsidR="003F0A2C">
        <w:rPr>
          <w:lang w:val="pt-PT"/>
        </w:rPr>
        <w:t>p</w:t>
      </w:r>
      <w:r w:rsidRPr="007C59C5">
        <w:rPr>
          <w:lang w:val="pt-PT"/>
        </w:rPr>
        <w:t xml:space="preserve">restador de </w:t>
      </w:r>
      <w:r w:rsidR="003F0A2C">
        <w:rPr>
          <w:lang w:val="pt-PT"/>
        </w:rPr>
        <w:t>s</w:t>
      </w:r>
      <w:r w:rsidRPr="007C59C5">
        <w:rPr>
          <w:lang w:val="pt-PT"/>
        </w:rPr>
        <w:t xml:space="preserve">erviços de </w:t>
      </w:r>
      <w:r w:rsidR="003F0A2C">
        <w:rPr>
          <w:lang w:val="pt-PT"/>
        </w:rPr>
        <w:t>v</w:t>
      </w:r>
      <w:r w:rsidRPr="007C59C5">
        <w:rPr>
          <w:lang w:val="pt-PT"/>
        </w:rPr>
        <w:t xml:space="preserve">alor </w:t>
      </w:r>
      <w:r w:rsidR="003F0A2C">
        <w:rPr>
          <w:lang w:val="pt-PT"/>
        </w:rPr>
        <w:t>a</w:t>
      </w:r>
      <w:r w:rsidRPr="007C59C5">
        <w:rPr>
          <w:lang w:val="pt-PT"/>
        </w:rPr>
        <w:t xml:space="preserve">crescentado ou de um </w:t>
      </w:r>
      <w:r w:rsidR="003F0A2C">
        <w:rPr>
          <w:lang w:val="pt-PT"/>
        </w:rPr>
        <w:t>a</w:t>
      </w:r>
      <w:r w:rsidRPr="007C59C5">
        <w:rPr>
          <w:lang w:val="pt-PT"/>
        </w:rPr>
        <w:t xml:space="preserve">gregador USSD no mesmo prazo, o </w:t>
      </w:r>
      <w:r w:rsidR="003F0A2C">
        <w:rPr>
          <w:lang w:val="pt-PT"/>
        </w:rPr>
        <w:t>p</w:t>
      </w:r>
      <w:r w:rsidRPr="007C59C5">
        <w:rPr>
          <w:lang w:val="pt-PT"/>
        </w:rPr>
        <w:t xml:space="preserve">restador de </w:t>
      </w:r>
      <w:r w:rsidR="003F0A2C">
        <w:rPr>
          <w:lang w:val="pt-PT"/>
        </w:rPr>
        <w:t>s</w:t>
      </w:r>
      <w:r w:rsidRPr="007C59C5">
        <w:rPr>
          <w:lang w:val="pt-PT"/>
        </w:rPr>
        <w:t xml:space="preserve">erviços de </w:t>
      </w:r>
      <w:r w:rsidR="003F0A2C">
        <w:rPr>
          <w:lang w:val="pt-PT"/>
        </w:rPr>
        <w:t>v</w:t>
      </w:r>
      <w:r w:rsidRPr="007C59C5">
        <w:rPr>
          <w:lang w:val="pt-PT"/>
        </w:rPr>
        <w:t xml:space="preserve">alor </w:t>
      </w:r>
      <w:r w:rsidR="003F0A2C">
        <w:rPr>
          <w:lang w:val="pt-PT"/>
        </w:rPr>
        <w:t>a</w:t>
      </w:r>
      <w:r w:rsidRPr="007C59C5">
        <w:rPr>
          <w:lang w:val="pt-PT"/>
        </w:rPr>
        <w:t xml:space="preserve">crescentado ou o </w:t>
      </w:r>
      <w:r w:rsidR="003F0A2C">
        <w:rPr>
          <w:lang w:val="pt-PT"/>
        </w:rPr>
        <w:t>a</w:t>
      </w:r>
      <w:r w:rsidRPr="007C59C5">
        <w:rPr>
          <w:lang w:val="pt-PT"/>
        </w:rPr>
        <w:t xml:space="preserve">gregador USSD tem o direito de submeter a questão à </w:t>
      </w:r>
      <w:r w:rsidR="00E60298" w:rsidRPr="007C59C5">
        <w:rPr>
          <w:lang w:val="pt-PT"/>
        </w:rPr>
        <w:t>ARN</w:t>
      </w:r>
      <w:r w:rsidRPr="007C59C5">
        <w:rPr>
          <w:lang w:val="pt-PT"/>
        </w:rPr>
        <w:t xml:space="preserve"> para arbitragem, nos termos do</w:t>
      </w:r>
      <w:r w:rsidR="00E60298" w:rsidRPr="007C59C5">
        <w:rPr>
          <w:lang w:val="pt-PT"/>
        </w:rPr>
        <w:t>s</w:t>
      </w:r>
      <w:r w:rsidRPr="007C59C5">
        <w:rPr>
          <w:lang w:val="pt-PT"/>
        </w:rPr>
        <w:t xml:space="preserve"> artigo</w:t>
      </w:r>
      <w:r w:rsidR="00E60298" w:rsidRPr="007C59C5">
        <w:rPr>
          <w:lang w:val="pt-PT"/>
        </w:rPr>
        <w:t>s 165</w:t>
      </w:r>
      <w:r w:rsidR="003F0A2C">
        <w:rPr>
          <w:lang w:val="pt-PT"/>
        </w:rPr>
        <w:t>.º</w:t>
      </w:r>
      <w:r w:rsidR="00E60298" w:rsidRPr="007C59C5">
        <w:rPr>
          <w:lang w:val="pt-PT"/>
        </w:rPr>
        <w:t xml:space="preserve"> e seguintes</w:t>
      </w:r>
      <w:r w:rsidRPr="007C59C5">
        <w:rPr>
          <w:lang w:val="pt-PT"/>
        </w:rPr>
        <w:t xml:space="preserve"> da </w:t>
      </w:r>
      <w:r w:rsidR="00E60298" w:rsidRPr="007C59C5">
        <w:rPr>
          <w:lang w:val="pt-PT"/>
        </w:rPr>
        <w:t>l</w:t>
      </w:r>
      <w:r w:rsidRPr="007C59C5">
        <w:rPr>
          <w:lang w:val="pt-PT"/>
        </w:rPr>
        <w:t xml:space="preserve">ei </w:t>
      </w:r>
      <w:r w:rsidR="00E60298" w:rsidRPr="007C59C5">
        <w:rPr>
          <w:lang w:val="pt-PT"/>
        </w:rPr>
        <w:t>n°</w:t>
      </w:r>
      <w:r w:rsidR="00E60298" w:rsidRPr="007C59C5">
        <w:rPr>
          <w:highlight w:val="lightGray"/>
          <w:lang w:val="pt-PT"/>
        </w:rPr>
        <w:t>[•]</w:t>
      </w:r>
      <w:r w:rsidR="00E60298" w:rsidRPr="007C59C5">
        <w:rPr>
          <w:lang w:val="pt-PT"/>
        </w:rPr>
        <w:t xml:space="preserve"> de Base das comunicações electrónicas. </w:t>
      </w:r>
    </w:p>
    <w:p w14:paraId="03137143" w14:textId="6CAE6B29" w:rsidR="00FA2D29" w:rsidRPr="007C59C5" w:rsidRDefault="00FA2D29" w:rsidP="000C4A76">
      <w:pPr>
        <w:pStyle w:val="Style2"/>
        <w:numPr>
          <w:ilvl w:val="0"/>
          <w:numId w:val="18"/>
        </w:numPr>
        <w:rPr>
          <w:lang w:val="pt-PT"/>
        </w:rPr>
      </w:pPr>
      <w:r w:rsidRPr="007C59C5">
        <w:rPr>
          <w:lang w:val="pt-PT"/>
        </w:rPr>
        <w:t xml:space="preserve">Logo após a sua assinatura, os operadores </w:t>
      </w:r>
      <w:r w:rsidR="005E137D" w:rsidRPr="007C59C5">
        <w:rPr>
          <w:lang w:val="pt-PT"/>
        </w:rPr>
        <w:t>de comunicações electrónicas móveis</w:t>
      </w:r>
      <w:r w:rsidRPr="007C59C5">
        <w:rPr>
          <w:lang w:val="pt-PT"/>
        </w:rPr>
        <w:t xml:space="preserve"> devem remeter os acordos celebrados à </w:t>
      </w:r>
      <w:r w:rsidR="00E60298" w:rsidRPr="007C59C5">
        <w:rPr>
          <w:lang w:val="pt-PT"/>
        </w:rPr>
        <w:t>ARN</w:t>
      </w:r>
      <w:r w:rsidRPr="007C59C5">
        <w:rPr>
          <w:lang w:val="pt-PT"/>
        </w:rPr>
        <w:t xml:space="preserve">, que dispõe de um prazo de trinta (30) dias para os aprovar ou solicitar alterações. </w:t>
      </w:r>
    </w:p>
    <w:p w14:paraId="1BECC499" w14:textId="77777777" w:rsidR="00FA2D29" w:rsidRPr="007C59C5" w:rsidRDefault="00FA2D29" w:rsidP="005E137D">
      <w:pPr>
        <w:rPr>
          <w:rFonts w:cs="Calibri"/>
        </w:rPr>
      </w:pPr>
    </w:p>
    <w:p w14:paraId="4B38C77F" w14:textId="5F731FDE" w:rsidR="000C4A76" w:rsidRPr="007C59C5" w:rsidRDefault="001E3D80" w:rsidP="000C4A76">
      <w:pPr>
        <w:pStyle w:val="Paragraphedeliste"/>
        <w:numPr>
          <w:ilvl w:val="0"/>
          <w:numId w:val="7"/>
        </w:numPr>
        <w:jc w:val="left"/>
        <w:rPr>
          <w:rFonts w:cs="Calibri"/>
        </w:rPr>
      </w:pPr>
      <w:r w:rsidRPr="001E3D80">
        <w:rPr>
          <w:rFonts w:cs="Calibri"/>
        </w:rPr>
        <w:t xml:space="preserve">Estrutura </w:t>
      </w:r>
      <w:r w:rsidR="000C4A76" w:rsidRPr="007C59C5">
        <w:rPr>
          <w:rFonts w:cs="Calibri"/>
        </w:rPr>
        <w:t xml:space="preserve">de preços </w:t>
      </w:r>
    </w:p>
    <w:p w14:paraId="4837F126" w14:textId="5E9A5E1D" w:rsidR="00FA2D29" w:rsidRPr="007C59C5" w:rsidRDefault="00E60298" w:rsidP="000C4A76">
      <w:pPr>
        <w:pStyle w:val="Style2"/>
        <w:numPr>
          <w:ilvl w:val="0"/>
          <w:numId w:val="22"/>
        </w:numPr>
        <w:rPr>
          <w:lang w:val="pt-PT"/>
        </w:rPr>
      </w:pPr>
      <w:r w:rsidRPr="007C59C5">
        <w:rPr>
          <w:lang w:val="pt-PT"/>
        </w:rPr>
        <w:t xml:space="preserve">: </w:t>
      </w:r>
      <w:r w:rsidR="00FA2D29" w:rsidRPr="007C59C5">
        <w:rPr>
          <w:lang w:val="pt-PT"/>
        </w:rPr>
        <w:t xml:space="preserve">As tarifas aplicadas pelos operadores de telecomunicações/comunicações electrónicas móveis para o acesso ao canal </w:t>
      </w:r>
      <w:r w:rsidR="00FA2D29" w:rsidRPr="007C59C5">
        <w:rPr>
          <w:i/>
          <w:iCs/>
          <w:lang w:val="pt-PT"/>
        </w:rPr>
        <w:t>USSD</w:t>
      </w:r>
      <w:r w:rsidR="00FA2D29" w:rsidRPr="007C59C5">
        <w:rPr>
          <w:lang w:val="pt-PT"/>
        </w:rPr>
        <w:t xml:space="preserve"> incluem:</w:t>
      </w:r>
    </w:p>
    <w:p w14:paraId="252B2323" w14:textId="62675736" w:rsidR="00FA2D29" w:rsidRPr="007C59C5" w:rsidRDefault="00FA2D29" w:rsidP="00E60298">
      <w:pPr>
        <w:pStyle w:val="Style1"/>
        <w:numPr>
          <w:ilvl w:val="0"/>
          <w:numId w:val="23"/>
        </w:numPr>
      </w:pPr>
      <w:r w:rsidRPr="007C59C5">
        <w:t>taxas de acesso a serviços</w:t>
      </w:r>
      <w:r w:rsidR="00BB487B">
        <w:t>;</w:t>
      </w:r>
      <w:r w:rsidRPr="007C59C5">
        <w:t xml:space="preserve"> </w:t>
      </w:r>
    </w:p>
    <w:p w14:paraId="02EFB183" w14:textId="2866BC1D" w:rsidR="00FA2D29" w:rsidRPr="007C59C5" w:rsidRDefault="00FA2D29" w:rsidP="00E60298">
      <w:pPr>
        <w:pStyle w:val="Style1"/>
      </w:pPr>
      <w:r w:rsidRPr="007C59C5">
        <w:t xml:space="preserve">custos de manutenção e apoio </w:t>
      </w:r>
      <w:r w:rsidR="00BB487B">
        <w:t>;</w:t>
      </w:r>
    </w:p>
    <w:p w14:paraId="4079A01E" w14:textId="5DB2256A" w:rsidR="00FA2D29" w:rsidRPr="007C59C5" w:rsidRDefault="00FA2D29" w:rsidP="00E60298">
      <w:pPr>
        <w:pStyle w:val="Style1"/>
      </w:pPr>
      <w:r w:rsidRPr="007C59C5">
        <w:t>taxas de transação</w:t>
      </w:r>
      <w:r w:rsidR="00BB487B">
        <w:t>.</w:t>
      </w:r>
      <w:r w:rsidRPr="007C59C5">
        <w:t xml:space="preserve"> </w:t>
      </w:r>
    </w:p>
    <w:p w14:paraId="15007B37" w14:textId="77777777" w:rsidR="00FA2D29" w:rsidRPr="007C59C5" w:rsidRDefault="00FA2D29" w:rsidP="000C4A76">
      <w:pPr>
        <w:pStyle w:val="Style2"/>
        <w:numPr>
          <w:ilvl w:val="0"/>
          <w:numId w:val="22"/>
        </w:numPr>
        <w:rPr>
          <w:lang w:val="pt-PT"/>
        </w:rPr>
      </w:pPr>
      <w:r w:rsidRPr="007C59C5">
        <w:rPr>
          <w:lang w:val="pt-PT"/>
        </w:rPr>
        <w:t xml:space="preserve">As taxas de transação são cobradas por sessão, correspondendo ao percurso do cliente </w:t>
      </w:r>
      <w:r w:rsidRPr="007C59C5">
        <w:rPr>
          <w:lang w:val="pt-PT"/>
        </w:rPr>
        <w:lastRenderedPageBreak/>
        <w:t>móvel a partir do momento em que entra no portal USSD do prestador de serviços de valor acrescentado ou do agregador USSD.</w:t>
      </w:r>
    </w:p>
    <w:p w14:paraId="4E83AF11" w14:textId="77777777" w:rsidR="00FA2D29" w:rsidRPr="007C59C5" w:rsidRDefault="00FA2D29" w:rsidP="000C4A76">
      <w:pPr>
        <w:pStyle w:val="Style2"/>
        <w:numPr>
          <w:ilvl w:val="0"/>
          <w:numId w:val="22"/>
        </w:numPr>
        <w:rPr>
          <w:lang w:val="pt-PT"/>
        </w:rPr>
      </w:pPr>
      <w:r w:rsidRPr="007C59C5">
        <w:rPr>
          <w:lang w:val="pt-PT"/>
        </w:rPr>
        <w:t xml:space="preserve">A duração máxima de uma sessão é de cento e vinte (120) segundos e o "time out" de uma sessão não pode exceder sessenta (60) segundos. </w:t>
      </w:r>
    </w:p>
    <w:p w14:paraId="66581D7E" w14:textId="77777777" w:rsidR="001E3D80" w:rsidRDefault="001E3D80" w:rsidP="001E3D80">
      <w:pPr>
        <w:pStyle w:val="Style2"/>
        <w:numPr>
          <w:ilvl w:val="0"/>
          <w:numId w:val="0"/>
        </w:numPr>
        <w:ind w:left="1440"/>
        <w:rPr>
          <w:lang w:val="pt-PT"/>
        </w:rPr>
      </w:pPr>
    </w:p>
    <w:p w14:paraId="7E67A165" w14:textId="77777777" w:rsidR="001E3D80" w:rsidRPr="001E3D80" w:rsidRDefault="00E60298" w:rsidP="001E3D80">
      <w:pPr>
        <w:pStyle w:val="Paragraphedeliste"/>
        <w:numPr>
          <w:ilvl w:val="0"/>
          <w:numId w:val="7"/>
        </w:numPr>
        <w:jc w:val="left"/>
        <w:rPr>
          <w:rFonts w:cs="Calibri"/>
        </w:rPr>
      </w:pPr>
      <w:r w:rsidRPr="001E3D80">
        <w:rPr>
          <w:rFonts w:cs="Calibri"/>
        </w:rPr>
        <w:t xml:space="preserve">Preços máximos: </w:t>
      </w:r>
    </w:p>
    <w:p w14:paraId="2891926B" w14:textId="5B9F03F4" w:rsidR="00FA2D29" w:rsidRPr="007C59C5" w:rsidRDefault="00FA2D29" w:rsidP="001E3D80">
      <w:r w:rsidRPr="007C59C5">
        <w:t xml:space="preserve">As tarifas cobradas pelos operadores de comunicações electrónicas móveis pelo acesso ao canal </w:t>
      </w:r>
      <w:r w:rsidRPr="007C59C5">
        <w:rPr>
          <w:i/>
          <w:iCs/>
        </w:rPr>
        <w:t>USSD</w:t>
      </w:r>
      <w:r w:rsidRPr="007C59C5">
        <w:t xml:space="preserve"> não podem exceder os limites máximos abaixo indicados:</w:t>
      </w:r>
    </w:p>
    <w:p w14:paraId="73AADD6C" w14:textId="4B68BCD2" w:rsidR="00FA2D29" w:rsidRPr="007C59C5" w:rsidRDefault="00FA2D29" w:rsidP="00E60298">
      <w:pPr>
        <w:pStyle w:val="Style1"/>
        <w:numPr>
          <w:ilvl w:val="0"/>
          <w:numId w:val="27"/>
        </w:numPr>
      </w:pPr>
      <w:r w:rsidRPr="007C59C5">
        <w:t>da data "n" de entrada em vigor da presente decisão até à data n+ 12 meses:</w:t>
      </w:r>
    </w:p>
    <w:p w14:paraId="7CFD6E2B" w14:textId="77777777" w:rsidR="00FA2D29" w:rsidRPr="007C59C5" w:rsidRDefault="00FA2D29" w:rsidP="005E137D">
      <w:pPr>
        <w:rPr>
          <w:rFonts w:cs="Calibri"/>
        </w:rPr>
      </w:pPr>
    </w:p>
    <w:tbl>
      <w:tblPr>
        <w:tblStyle w:val="Grilledutableau"/>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3499"/>
        <w:gridCol w:w="2803"/>
      </w:tblGrid>
      <w:tr w:rsidR="00FA2D29" w:rsidRPr="007C59C5" w14:paraId="6A40DDA9" w14:textId="77777777" w:rsidTr="00CC4887">
        <w:trPr>
          <w:jc w:val="center"/>
        </w:trPr>
        <w:tc>
          <w:tcPr>
            <w:tcW w:w="3499" w:type="dxa"/>
            <w:tcBorders>
              <w:top w:val="nil"/>
              <w:left w:val="nil"/>
            </w:tcBorders>
          </w:tcPr>
          <w:p w14:paraId="2178643B" w14:textId="77777777" w:rsidR="00FA2D29" w:rsidRPr="007C59C5" w:rsidRDefault="00FA2D29" w:rsidP="005E137D">
            <w:pPr>
              <w:rPr>
                <w:rFonts w:cs="Calibri"/>
              </w:rPr>
            </w:pPr>
          </w:p>
        </w:tc>
        <w:tc>
          <w:tcPr>
            <w:tcW w:w="2803" w:type="dxa"/>
          </w:tcPr>
          <w:p w14:paraId="22A9E19C" w14:textId="77777777" w:rsidR="00FA2D29" w:rsidRPr="007C59C5" w:rsidRDefault="00FA2D29" w:rsidP="005E137D">
            <w:pPr>
              <w:rPr>
                <w:rFonts w:cs="Calibri"/>
                <w:u w:val="single"/>
              </w:rPr>
            </w:pPr>
            <w:r w:rsidRPr="007C59C5">
              <w:rPr>
                <w:rFonts w:cs="Calibri"/>
                <w:u w:val="single"/>
              </w:rPr>
              <w:t xml:space="preserve">Gama proposta </w:t>
            </w:r>
          </w:p>
        </w:tc>
      </w:tr>
      <w:tr w:rsidR="00FA2D29" w:rsidRPr="007C59C5" w14:paraId="5DF15334" w14:textId="77777777" w:rsidTr="00CC4887">
        <w:trPr>
          <w:jc w:val="center"/>
        </w:trPr>
        <w:tc>
          <w:tcPr>
            <w:tcW w:w="3499" w:type="dxa"/>
          </w:tcPr>
          <w:p w14:paraId="55847AE1" w14:textId="77777777" w:rsidR="00FA2D29" w:rsidRPr="007C59C5" w:rsidRDefault="00FA2D29" w:rsidP="005E137D">
            <w:pPr>
              <w:rPr>
                <w:rFonts w:cs="Calibri"/>
              </w:rPr>
            </w:pPr>
            <w:r w:rsidRPr="007C59C5">
              <w:rPr>
                <w:rFonts w:cs="Calibri"/>
              </w:rPr>
              <w:t>Taxa de acesso ao serviço por ano (FCFA)</w:t>
            </w:r>
          </w:p>
        </w:tc>
        <w:tc>
          <w:tcPr>
            <w:tcW w:w="2803" w:type="dxa"/>
          </w:tcPr>
          <w:p w14:paraId="566AE573" w14:textId="77777777" w:rsidR="00FA2D29" w:rsidRPr="007C59C5" w:rsidRDefault="00FA2D29" w:rsidP="005E137D">
            <w:pPr>
              <w:rPr>
                <w:rFonts w:cs="Calibri"/>
                <w:u w:val="single"/>
              </w:rPr>
            </w:pPr>
            <w:r w:rsidRPr="007C59C5">
              <w:rPr>
                <w:rFonts w:cs="Calibri"/>
              </w:rPr>
              <w:t xml:space="preserve">&lt; 250 000 à 600 </w:t>
            </w:r>
            <w:r w:rsidRPr="007C59C5">
              <w:rPr>
                <w:rFonts w:cs="Calibri"/>
                <w:u w:val="single"/>
              </w:rPr>
              <w:t xml:space="preserve">000 </w:t>
            </w:r>
          </w:p>
        </w:tc>
      </w:tr>
      <w:tr w:rsidR="00FA2D29" w:rsidRPr="007C59C5" w14:paraId="715DAEC0" w14:textId="77777777" w:rsidTr="00CC4887">
        <w:trPr>
          <w:jc w:val="center"/>
        </w:trPr>
        <w:tc>
          <w:tcPr>
            <w:tcW w:w="3499" w:type="dxa"/>
          </w:tcPr>
          <w:p w14:paraId="0E11D759" w14:textId="77777777" w:rsidR="00FA2D29" w:rsidRPr="007C59C5" w:rsidRDefault="00FA2D29" w:rsidP="005E137D">
            <w:pPr>
              <w:rPr>
                <w:rFonts w:cs="Calibri"/>
              </w:rPr>
            </w:pPr>
            <w:r w:rsidRPr="007C59C5">
              <w:rPr>
                <w:rFonts w:cs="Calibri"/>
              </w:rPr>
              <w:t>Custos de manutenção e apoio, incluindo ligação HTTPS ou VPN por ano (FCFA)</w:t>
            </w:r>
          </w:p>
        </w:tc>
        <w:tc>
          <w:tcPr>
            <w:tcW w:w="2803" w:type="dxa"/>
          </w:tcPr>
          <w:p w14:paraId="5D7F228F" w14:textId="77777777" w:rsidR="00FA2D29" w:rsidRPr="007C59C5" w:rsidRDefault="00FA2D29" w:rsidP="005E137D">
            <w:pPr>
              <w:rPr>
                <w:rFonts w:cs="Calibri"/>
              </w:rPr>
            </w:pPr>
            <w:r w:rsidRPr="007C59C5">
              <w:rPr>
                <w:rFonts w:cs="Calibri"/>
              </w:rPr>
              <w:t>&lt; 250 000 à 450 000</w:t>
            </w:r>
          </w:p>
        </w:tc>
      </w:tr>
      <w:tr w:rsidR="00FA2D29" w:rsidRPr="007C59C5" w14:paraId="3F7A477F" w14:textId="77777777" w:rsidTr="00CC4887">
        <w:trPr>
          <w:jc w:val="center"/>
        </w:trPr>
        <w:tc>
          <w:tcPr>
            <w:tcW w:w="3499" w:type="dxa"/>
          </w:tcPr>
          <w:p w14:paraId="3205DDAF" w14:textId="77777777" w:rsidR="00FA2D29" w:rsidRPr="007C59C5" w:rsidRDefault="00FA2D29" w:rsidP="005E137D">
            <w:pPr>
              <w:rPr>
                <w:rFonts w:cs="Calibri"/>
              </w:rPr>
            </w:pPr>
            <w:r w:rsidRPr="007C59C5">
              <w:rPr>
                <w:rFonts w:cs="Calibri"/>
                <w:vertAlign w:val="superscript"/>
              </w:rPr>
              <w:t>(1)</w:t>
            </w:r>
            <w:r w:rsidRPr="007C59C5">
              <w:rPr>
                <w:rFonts w:cs="Calibri"/>
              </w:rPr>
              <w:t>Taxas de transação por sessão (FCFA)</w:t>
            </w:r>
          </w:p>
        </w:tc>
        <w:tc>
          <w:tcPr>
            <w:tcW w:w="2803" w:type="dxa"/>
          </w:tcPr>
          <w:p w14:paraId="261645A3" w14:textId="77777777" w:rsidR="00FA2D29" w:rsidRPr="007C59C5" w:rsidRDefault="00FA2D29" w:rsidP="005E137D">
            <w:pPr>
              <w:rPr>
                <w:rFonts w:cs="Calibri"/>
              </w:rPr>
            </w:pPr>
          </w:p>
        </w:tc>
      </w:tr>
      <w:tr w:rsidR="00FA2D29" w:rsidRPr="007C59C5" w14:paraId="0B04A711" w14:textId="77777777" w:rsidTr="00CC4887">
        <w:trPr>
          <w:jc w:val="center"/>
        </w:trPr>
        <w:tc>
          <w:tcPr>
            <w:tcW w:w="3499" w:type="dxa"/>
          </w:tcPr>
          <w:p w14:paraId="51159F57" w14:textId="77777777" w:rsidR="00FA2D29" w:rsidRPr="007C59C5" w:rsidRDefault="00FA2D29" w:rsidP="005E137D">
            <w:pPr>
              <w:pStyle w:val="Paragraphedeliste"/>
              <w:numPr>
                <w:ilvl w:val="0"/>
                <w:numId w:val="4"/>
              </w:numPr>
              <w:jc w:val="left"/>
              <w:rPr>
                <w:rFonts w:cs="Calibri"/>
              </w:rPr>
            </w:pPr>
            <w:r w:rsidRPr="007C59C5">
              <w:rPr>
                <w:rFonts w:cs="Calibri"/>
              </w:rPr>
              <w:t>até 50.000 sessões</w:t>
            </w:r>
          </w:p>
        </w:tc>
        <w:tc>
          <w:tcPr>
            <w:tcW w:w="2803" w:type="dxa"/>
          </w:tcPr>
          <w:p w14:paraId="458E9C08" w14:textId="77777777" w:rsidR="00FA2D29" w:rsidRPr="007C59C5" w:rsidRDefault="00FA2D29" w:rsidP="005E137D">
            <w:pPr>
              <w:rPr>
                <w:rFonts w:cs="Calibri"/>
              </w:rPr>
            </w:pPr>
            <w:r w:rsidRPr="007C59C5">
              <w:rPr>
                <w:rFonts w:cs="Calibri"/>
                <w:u w:val="single"/>
              </w:rPr>
              <w:t xml:space="preserve">&lt; </w:t>
            </w:r>
            <w:r w:rsidRPr="007C59C5">
              <w:rPr>
                <w:rFonts w:cs="Calibri"/>
              </w:rPr>
              <w:t xml:space="preserve">25 à </w:t>
            </w:r>
            <w:r w:rsidRPr="007C59C5">
              <w:rPr>
                <w:rFonts w:cs="Calibri"/>
                <w:u w:val="single"/>
              </w:rPr>
              <w:t xml:space="preserve">50 </w:t>
            </w:r>
          </w:p>
        </w:tc>
      </w:tr>
      <w:tr w:rsidR="00FA2D29" w:rsidRPr="007C59C5" w14:paraId="6CAD1F7A" w14:textId="77777777" w:rsidTr="00CC4887">
        <w:trPr>
          <w:trHeight w:val="46"/>
          <w:jc w:val="center"/>
        </w:trPr>
        <w:tc>
          <w:tcPr>
            <w:tcW w:w="3499" w:type="dxa"/>
          </w:tcPr>
          <w:p w14:paraId="4C89E794" w14:textId="77777777" w:rsidR="00FA2D29" w:rsidRPr="007C59C5" w:rsidRDefault="00FA2D29" w:rsidP="005E137D">
            <w:pPr>
              <w:pStyle w:val="Paragraphedeliste"/>
              <w:numPr>
                <w:ilvl w:val="0"/>
                <w:numId w:val="4"/>
              </w:numPr>
              <w:jc w:val="left"/>
              <w:rPr>
                <w:rFonts w:cs="Calibri"/>
              </w:rPr>
            </w:pPr>
            <w:r w:rsidRPr="007C59C5">
              <w:rPr>
                <w:rFonts w:cs="Calibri"/>
              </w:rPr>
              <w:t>50.000 a 500.000 sessões</w:t>
            </w:r>
          </w:p>
        </w:tc>
        <w:tc>
          <w:tcPr>
            <w:tcW w:w="2803" w:type="dxa"/>
          </w:tcPr>
          <w:p w14:paraId="6185FFA4" w14:textId="77777777" w:rsidR="00FA2D29" w:rsidRPr="007C59C5" w:rsidRDefault="00FA2D29" w:rsidP="005E137D">
            <w:pPr>
              <w:rPr>
                <w:rFonts w:cs="Calibri"/>
              </w:rPr>
            </w:pPr>
            <w:r w:rsidRPr="007C59C5">
              <w:rPr>
                <w:rFonts w:cs="Calibri"/>
                <w:u w:val="single"/>
              </w:rPr>
              <w:t xml:space="preserve">&lt;20 </w:t>
            </w:r>
            <w:r w:rsidRPr="007C59C5">
              <w:rPr>
                <w:rFonts w:cs="Calibri"/>
              </w:rPr>
              <w:t xml:space="preserve">à </w:t>
            </w:r>
            <w:r w:rsidRPr="007C59C5">
              <w:rPr>
                <w:rFonts w:cs="Calibri"/>
                <w:u w:val="single"/>
              </w:rPr>
              <w:t xml:space="preserve">15 </w:t>
            </w:r>
          </w:p>
        </w:tc>
      </w:tr>
      <w:tr w:rsidR="00FA2D29" w:rsidRPr="007C59C5" w14:paraId="4D80FE51" w14:textId="77777777" w:rsidTr="00CC4887">
        <w:trPr>
          <w:jc w:val="center"/>
        </w:trPr>
        <w:tc>
          <w:tcPr>
            <w:tcW w:w="3499" w:type="dxa"/>
          </w:tcPr>
          <w:p w14:paraId="489D708C" w14:textId="77777777" w:rsidR="00FA2D29" w:rsidRPr="007C59C5" w:rsidRDefault="00FA2D29" w:rsidP="005E137D">
            <w:pPr>
              <w:pStyle w:val="Paragraphedeliste"/>
              <w:numPr>
                <w:ilvl w:val="0"/>
                <w:numId w:val="4"/>
              </w:numPr>
              <w:jc w:val="left"/>
              <w:rPr>
                <w:rFonts w:cs="Calibri"/>
              </w:rPr>
            </w:pPr>
            <w:r w:rsidRPr="007C59C5">
              <w:rPr>
                <w:rFonts w:cs="Calibri"/>
              </w:rPr>
              <w:t>&gt; 500 000 sessões</w:t>
            </w:r>
          </w:p>
        </w:tc>
        <w:tc>
          <w:tcPr>
            <w:tcW w:w="2803" w:type="dxa"/>
          </w:tcPr>
          <w:p w14:paraId="5AF393FC" w14:textId="77777777" w:rsidR="00FA2D29" w:rsidRPr="007C59C5" w:rsidRDefault="00FA2D29" w:rsidP="005E137D">
            <w:pPr>
              <w:rPr>
                <w:rFonts w:cs="Calibri"/>
              </w:rPr>
            </w:pPr>
            <w:r w:rsidRPr="007C59C5">
              <w:rPr>
                <w:rFonts w:cs="Calibri"/>
                <w:u w:val="single"/>
              </w:rPr>
              <w:t xml:space="preserve">&lt; </w:t>
            </w:r>
            <w:r w:rsidRPr="007C59C5">
              <w:rPr>
                <w:rFonts w:cs="Calibri"/>
              </w:rPr>
              <w:t xml:space="preserve">10 à </w:t>
            </w:r>
            <w:r w:rsidRPr="007C59C5">
              <w:rPr>
                <w:rFonts w:cs="Calibri"/>
                <w:u w:val="single"/>
              </w:rPr>
              <w:t xml:space="preserve">5 </w:t>
            </w:r>
          </w:p>
        </w:tc>
      </w:tr>
    </w:tbl>
    <w:p w14:paraId="68A9461C" w14:textId="77777777" w:rsidR="00FA2D29" w:rsidRPr="007C59C5" w:rsidRDefault="00FA2D29" w:rsidP="005E137D">
      <w:pPr>
        <w:jc w:val="center"/>
        <w:rPr>
          <w:rFonts w:cs="Calibri"/>
        </w:rPr>
      </w:pPr>
      <w:r w:rsidRPr="007C59C5">
        <w:rPr>
          <w:rFonts w:cs="Calibri"/>
          <w:vertAlign w:val="superscript"/>
        </w:rPr>
        <w:t xml:space="preserve">(1) </w:t>
      </w:r>
      <w:r w:rsidRPr="007C59C5">
        <w:rPr>
          <w:rFonts w:cs="Calibri"/>
        </w:rPr>
        <w:t>Base de 120 segundos com um intervalo de 60 segundos</w:t>
      </w:r>
    </w:p>
    <w:p w14:paraId="40F39476" w14:textId="1A8161C3" w:rsidR="00FA2D29" w:rsidRPr="007C59C5" w:rsidRDefault="00FA2D29" w:rsidP="00E60298">
      <w:pPr>
        <w:pStyle w:val="Style1"/>
        <w:numPr>
          <w:ilvl w:val="0"/>
          <w:numId w:val="27"/>
        </w:numPr>
      </w:pPr>
      <w:r w:rsidRPr="007C59C5">
        <w:t xml:space="preserve">A partir de n+ 12 meses </w:t>
      </w:r>
    </w:p>
    <w:p w14:paraId="5B93491C" w14:textId="77777777" w:rsidR="00FA2D29" w:rsidRPr="007C59C5" w:rsidRDefault="00FA2D29" w:rsidP="005E137D">
      <w:pPr>
        <w:rPr>
          <w:rFonts w:cs="Calibri"/>
        </w:rPr>
      </w:pPr>
    </w:p>
    <w:tbl>
      <w:tblPr>
        <w:tblStyle w:val="Grilledutableau"/>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3499"/>
        <w:gridCol w:w="2803"/>
      </w:tblGrid>
      <w:tr w:rsidR="00FA2D29" w:rsidRPr="007C59C5" w14:paraId="4ADB1967" w14:textId="77777777" w:rsidTr="00CC4887">
        <w:trPr>
          <w:jc w:val="center"/>
        </w:trPr>
        <w:tc>
          <w:tcPr>
            <w:tcW w:w="3499" w:type="dxa"/>
            <w:tcBorders>
              <w:top w:val="nil"/>
              <w:left w:val="nil"/>
            </w:tcBorders>
          </w:tcPr>
          <w:p w14:paraId="3C6893A2" w14:textId="77777777" w:rsidR="00FA2D29" w:rsidRPr="007C59C5" w:rsidRDefault="00FA2D29" w:rsidP="005E137D">
            <w:pPr>
              <w:rPr>
                <w:rFonts w:cs="Calibri"/>
              </w:rPr>
            </w:pPr>
          </w:p>
        </w:tc>
        <w:tc>
          <w:tcPr>
            <w:tcW w:w="2803" w:type="dxa"/>
          </w:tcPr>
          <w:p w14:paraId="12F48D3D" w14:textId="77777777" w:rsidR="00FA2D29" w:rsidRPr="007C59C5" w:rsidRDefault="00FA2D29" w:rsidP="005E137D">
            <w:pPr>
              <w:rPr>
                <w:rFonts w:cs="Calibri"/>
                <w:u w:val="single"/>
              </w:rPr>
            </w:pPr>
            <w:r w:rsidRPr="007C59C5">
              <w:rPr>
                <w:rFonts w:cs="Calibri"/>
                <w:u w:val="single"/>
              </w:rPr>
              <w:t>Gama proposta</w:t>
            </w:r>
          </w:p>
        </w:tc>
      </w:tr>
      <w:tr w:rsidR="00FA2D29" w:rsidRPr="007C59C5" w14:paraId="4DAD8E82" w14:textId="77777777" w:rsidTr="00CC4887">
        <w:trPr>
          <w:jc w:val="center"/>
        </w:trPr>
        <w:tc>
          <w:tcPr>
            <w:tcW w:w="3499" w:type="dxa"/>
          </w:tcPr>
          <w:p w14:paraId="526A5FC1" w14:textId="77777777" w:rsidR="00FA2D29" w:rsidRPr="007C59C5" w:rsidRDefault="00FA2D29" w:rsidP="005E137D">
            <w:pPr>
              <w:rPr>
                <w:rFonts w:cs="Calibri"/>
              </w:rPr>
            </w:pPr>
            <w:r w:rsidRPr="007C59C5">
              <w:rPr>
                <w:rFonts w:cs="Calibri"/>
              </w:rPr>
              <w:t>Taxas de acesso aos serviços (FCFA)</w:t>
            </w:r>
          </w:p>
        </w:tc>
        <w:tc>
          <w:tcPr>
            <w:tcW w:w="2803" w:type="dxa"/>
          </w:tcPr>
          <w:p w14:paraId="55E85910" w14:textId="77777777" w:rsidR="00FA2D29" w:rsidRPr="007C59C5" w:rsidRDefault="00FA2D29" w:rsidP="005E137D">
            <w:pPr>
              <w:rPr>
                <w:rFonts w:cs="Calibri"/>
                <w:u w:val="single"/>
              </w:rPr>
            </w:pPr>
            <w:r w:rsidRPr="007C59C5">
              <w:rPr>
                <w:rFonts w:cs="Calibri"/>
              </w:rPr>
              <w:t xml:space="preserve">&lt; 250 000 à 600 </w:t>
            </w:r>
            <w:r w:rsidRPr="007C59C5">
              <w:rPr>
                <w:rFonts w:cs="Calibri"/>
                <w:u w:val="single"/>
              </w:rPr>
              <w:t xml:space="preserve">000 </w:t>
            </w:r>
          </w:p>
        </w:tc>
      </w:tr>
      <w:tr w:rsidR="00FA2D29" w:rsidRPr="007C59C5" w14:paraId="41E6EA3C" w14:textId="77777777" w:rsidTr="00CC4887">
        <w:trPr>
          <w:jc w:val="center"/>
        </w:trPr>
        <w:tc>
          <w:tcPr>
            <w:tcW w:w="3499" w:type="dxa"/>
          </w:tcPr>
          <w:p w14:paraId="1640E6F3" w14:textId="77777777" w:rsidR="00FA2D29" w:rsidRPr="007C59C5" w:rsidRDefault="00FA2D29" w:rsidP="005E137D">
            <w:pPr>
              <w:rPr>
                <w:rFonts w:cs="Calibri"/>
              </w:rPr>
            </w:pPr>
            <w:r w:rsidRPr="007C59C5">
              <w:rPr>
                <w:rFonts w:cs="Calibri"/>
              </w:rPr>
              <w:t xml:space="preserve">Custos de manutenção e apoio (FCFA), incluindo ligação HTTPS ou VPN </w:t>
            </w:r>
          </w:p>
        </w:tc>
        <w:tc>
          <w:tcPr>
            <w:tcW w:w="2803" w:type="dxa"/>
          </w:tcPr>
          <w:p w14:paraId="52E8A3F6" w14:textId="77777777" w:rsidR="00FA2D29" w:rsidRPr="007C59C5" w:rsidRDefault="00FA2D29" w:rsidP="005E137D">
            <w:pPr>
              <w:rPr>
                <w:rFonts w:cs="Calibri"/>
              </w:rPr>
            </w:pPr>
            <w:r w:rsidRPr="007C59C5">
              <w:rPr>
                <w:rFonts w:cs="Calibri"/>
              </w:rPr>
              <w:t>&lt; 250 000 à 450 000</w:t>
            </w:r>
          </w:p>
        </w:tc>
      </w:tr>
      <w:tr w:rsidR="00FA2D29" w:rsidRPr="007C59C5" w14:paraId="2CABAFE4" w14:textId="77777777" w:rsidTr="00CC4887">
        <w:trPr>
          <w:jc w:val="center"/>
        </w:trPr>
        <w:tc>
          <w:tcPr>
            <w:tcW w:w="3499" w:type="dxa"/>
          </w:tcPr>
          <w:p w14:paraId="52B4DFC7" w14:textId="6981AC93" w:rsidR="00FA2D29" w:rsidRPr="007C59C5" w:rsidRDefault="00FA2D29" w:rsidP="005E137D">
            <w:pPr>
              <w:rPr>
                <w:rFonts w:cs="Calibri"/>
              </w:rPr>
            </w:pPr>
            <w:r w:rsidRPr="007C59C5">
              <w:rPr>
                <w:rFonts w:cs="Calibri"/>
              </w:rPr>
              <w:t>Taxa de transação por sessão independentemente do número de sessões (FCFA)</w:t>
            </w:r>
          </w:p>
        </w:tc>
        <w:tc>
          <w:tcPr>
            <w:tcW w:w="2803" w:type="dxa"/>
          </w:tcPr>
          <w:p w14:paraId="7FF9C947" w14:textId="77777777" w:rsidR="00FA2D29" w:rsidRPr="007C59C5" w:rsidRDefault="00FA2D29" w:rsidP="005E137D">
            <w:pPr>
              <w:rPr>
                <w:rFonts w:cs="Calibri"/>
              </w:rPr>
            </w:pPr>
            <w:r w:rsidRPr="007C59C5">
              <w:rPr>
                <w:rFonts w:cs="Calibri"/>
                <w:u w:val="single"/>
              </w:rPr>
              <w:t xml:space="preserve">&lt; </w:t>
            </w:r>
            <w:r w:rsidRPr="007C59C5">
              <w:rPr>
                <w:rFonts w:cs="Calibri"/>
              </w:rPr>
              <w:t>10 à 5</w:t>
            </w:r>
          </w:p>
        </w:tc>
      </w:tr>
    </w:tbl>
    <w:p w14:paraId="5187847C" w14:textId="77777777" w:rsidR="00FA2D29" w:rsidRPr="007C59C5" w:rsidRDefault="00FA2D29" w:rsidP="005E137D">
      <w:pPr>
        <w:jc w:val="center"/>
        <w:rPr>
          <w:rFonts w:cs="Calibri"/>
        </w:rPr>
      </w:pPr>
      <w:r w:rsidRPr="007C59C5">
        <w:rPr>
          <w:rFonts w:cs="Calibri"/>
          <w:vertAlign w:val="superscript"/>
        </w:rPr>
        <w:t>(1)</w:t>
      </w:r>
      <w:r w:rsidRPr="007C59C5">
        <w:rPr>
          <w:rFonts w:cs="Calibri"/>
        </w:rPr>
        <w:t xml:space="preserve"> Base de 120 segundos com um intervalo de 60 segundos</w:t>
      </w:r>
    </w:p>
    <w:p w14:paraId="56F26DE6" w14:textId="77777777" w:rsidR="00FA2D29" w:rsidRPr="007C59C5" w:rsidRDefault="00FA2D29" w:rsidP="005E137D">
      <w:pPr>
        <w:rPr>
          <w:rFonts w:cs="Calibri"/>
        </w:rPr>
      </w:pPr>
    </w:p>
    <w:p w14:paraId="2D6EFD21" w14:textId="7CEE913E" w:rsidR="00FA2D29" w:rsidRPr="007C59C5" w:rsidRDefault="00FA2D29" w:rsidP="00E60298">
      <w:pPr>
        <w:pStyle w:val="Paragraphedeliste"/>
        <w:numPr>
          <w:ilvl w:val="0"/>
          <w:numId w:val="7"/>
        </w:numPr>
        <w:jc w:val="left"/>
        <w:rPr>
          <w:rFonts w:cs="Calibri"/>
        </w:rPr>
      </w:pPr>
      <w:r w:rsidRPr="007C59C5">
        <w:rPr>
          <w:rFonts w:cs="Calibri"/>
        </w:rPr>
        <w:t>Interoperabilidade</w:t>
      </w:r>
    </w:p>
    <w:p w14:paraId="15F19609" w14:textId="0F0FA74C" w:rsidR="00FA2D29" w:rsidRPr="007C59C5" w:rsidRDefault="00FA2D29" w:rsidP="000C4A76">
      <w:pPr>
        <w:pStyle w:val="Style2"/>
        <w:numPr>
          <w:ilvl w:val="0"/>
          <w:numId w:val="29"/>
        </w:numPr>
        <w:rPr>
          <w:lang w:val="pt-PT"/>
        </w:rPr>
      </w:pPr>
      <w:r w:rsidRPr="007C59C5">
        <w:rPr>
          <w:lang w:val="pt-PT"/>
        </w:rPr>
        <w:t xml:space="preserve">Os operadores </w:t>
      </w:r>
      <w:r w:rsidR="005E137D" w:rsidRPr="007C59C5">
        <w:rPr>
          <w:lang w:val="pt-PT"/>
        </w:rPr>
        <w:t>de comunicações electrónicas móveis</w:t>
      </w:r>
      <w:r w:rsidRPr="007C59C5">
        <w:rPr>
          <w:lang w:val="pt-PT"/>
        </w:rPr>
        <w:t xml:space="preserve"> devem garantir a interconexão permanente da sua plataforma USSD com as plataformas implantadas pelos fornecedores de serviços de valor acrescentado e pelos agregadores USSD, respeitando os princípios da transparência, da não discriminação, da igualdade de tratamento e dos requisitos de qualidade do serviço.</w:t>
      </w:r>
    </w:p>
    <w:p w14:paraId="70158FD6" w14:textId="67D30370" w:rsidR="00FA2D29" w:rsidRPr="007C59C5" w:rsidRDefault="00FA2D29" w:rsidP="000C4A76">
      <w:pPr>
        <w:pStyle w:val="Style2"/>
        <w:rPr>
          <w:lang w:val="pt-PT"/>
        </w:rPr>
      </w:pPr>
      <w:r w:rsidRPr="007C59C5">
        <w:rPr>
          <w:lang w:val="pt-PT"/>
        </w:rPr>
        <w:t>Do mesmo modo, qualquer prestador de serviços de valor acrescentado através do canal USSD e qualquer agregador USSD é obrigado a prestar um serviço permanente a qualquer assinante, independentemente da rede de comunicações electrónicas a que esteja ligado, respeitando os princípios da transparência, da não discriminação, da igualdade de tratamento e dos requisitos de qualidade do serviço.</w:t>
      </w:r>
    </w:p>
    <w:p w14:paraId="06A01798" w14:textId="2D64AAE1" w:rsidR="000C4A76" w:rsidRPr="007C59C5" w:rsidRDefault="000C4A76" w:rsidP="000C4A76">
      <w:pPr>
        <w:pStyle w:val="Style2"/>
        <w:rPr>
          <w:lang w:val="pt-PT"/>
        </w:rPr>
      </w:pPr>
      <w:r w:rsidRPr="007C59C5">
        <w:rPr>
          <w:lang w:val="pt-PT"/>
        </w:rPr>
        <w:t>As modalidades de aplicação do disposto nos nºs 1 e 2 podem ser especificadas pela ARN em consulta com os operadores e fornecedores de serviços de valor acrescentado e os agregadores USSD.</w:t>
      </w:r>
    </w:p>
    <w:p w14:paraId="063C0A45" w14:textId="77777777" w:rsidR="00FA2D29" w:rsidRPr="007C59C5" w:rsidRDefault="00FA2D29" w:rsidP="005E137D">
      <w:pPr>
        <w:rPr>
          <w:rFonts w:cs="Calibri"/>
        </w:rPr>
      </w:pPr>
    </w:p>
    <w:p w14:paraId="4862A08E" w14:textId="4E9FFBF8" w:rsidR="00FA2D29" w:rsidRPr="007C59C5" w:rsidRDefault="00FA2D29" w:rsidP="000C4A76">
      <w:pPr>
        <w:pStyle w:val="Paragraphedeliste"/>
        <w:numPr>
          <w:ilvl w:val="0"/>
          <w:numId w:val="7"/>
        </w:numPr>
        <w:jc w:val="left"/>
        <w:rPr>
          <w:rFonts w:cs="Calibri"/>
        </w:rPr>
      </w:pPr>
      <w:r w:rsidRPr="007C59C5">
        <w:rPr>
          <w:rFonts w:cs="Calibri"/>
        </w:rPr>
        <w:t>Qualidade do serviço</w:t>
      </w:r>
    </w:p>
    <w:p w14:paraId="0AB636DD" w14:textId="77777777" w:rsidR="00FA2D29" w:rsidRPr="007C59C5" w:rsidRDefault="00FA2D29" w:rsidP="005E137D">
      <w:pPr>
        <w:rPr>
          <w:rFonts w:cs="Calibri"/>
        </w:rPr>
      </w:pPr>
      <w:r w:rsidRPr="007C59C5">
        <w:rPr>
          <w:rFonts w:cs="Calibri"/>
        </w:rPr>
        <w:t>Os fornecedores de serviços de valor acrescentado e os agregadores de USSD devem garantir que a sua plataforma funcione corretamente, a fim de cumprirem as suas obrigações de qualidade de serviço para com os seus utilizadores.</w:t>
      </w:r>
    </w:p>
    <w:p w14:paraId="0B637682" w14:textId="77777777" w:rsidR="00FA2D29" w:rsidRPr="007C59C5" w:rsidRDefault="00FA2D29" w:rsidP="005E137D">
      <w:pPr>
        <w:rPr>
          <w:rFonts w:cs="Calibri"/>
        </w:rPr>
      </w:pPr>
    </w:p>
    <w:p w14:paraId="01C611E0" w14:textId="64470763" w:rsidR="00FA2D29" w:rsidRPr="007C59C5" w:rsidRDefault="00FA2D29" w:rsidP="000C4A76">
      <w:pPr>
        <w:pStyle w:val="Paragraphedeliste"/>
        <w:numPr>
          <w:ilvl w:val="0"/>
          <w:numId w:val="7"/>
        </w:numPr>
        <w:jc w:val="left"/>
        <w:rPr>
          <w:rFonts w:cs="Calibri"/>
        </w:rPr>
      </w:pPr>
      <w:r w:rsidRPr="007C59C5">
        <w:rPr>
          <w:rFonts w:cs="Calibri"/>
        </w:rPr>
        <w:t>Confidencialidade das transacções</w:t>
      </w:r>
    </w:p>
    <w:p w14:paraId="26A87E24" w14:textId="77777777" w:rsidR="00FA2D29" w:rsidRPr="007C59C5" w:rsidRDefault="00FA2D29" w:rsidP="005E137D">
      <w:pPr>
        <w:rPr>
          <w:rFonts w:cs="Calibri"/>
        </w:rPr>
      </w:pPr>
      <w:r w:rsidRPr="007C59C5">
        <w:rPr>
          <w:rFonts w:cs="Calibri"/>
        </w:rPr>
        <w:t>Os prestadores de serviços de valor acrescentado e os agregadores de USSD são obrigados a respeitar a confidencialidade das transacções efectuadas na sua plataforma, em conformidade com as disposições em vigor em matéria de proteção dos dados pessoais.</w:t>
      </w:r>
    </w:p>
    <w:p w14:paraId="28FBF4A9" w14:textId="77777777" w:rsidR="00FA2D29" w:rsidRPr="007C59C5" w:rsidRDefault="00FA2D29" w:rsidP="005E137D">
      <w:pPr>
        <w:rPr>
          <w:rFonts w:cs="Calibri"/>
        </w:rPr>
      </w:pPr>
    </w:p>
    <w:p w14:paraId="64E5D01C" w14:textId="31525209" w:rsidR="00FA2D29" w:rsidRPr="007C59C5" w:rsidRDefault="00FA2D29" w:rsidP="000C4A76">
      <w:pPr>
        <w:pStyle w:val="Paragraphedeliste"/>
        <w:numPr>
          <w:ilvl w:val="0"/>
          <w:numId w:val="7"/>
        </w:numPr>
        <w:jc w:val="left"/>
        <w:rPr>
          <w:rFonts w:cs="Calibri"/>
        </w:rPr>
      </w:pPr>
      <w:r w:rsidRPr="007C59C5">
        <w:rPr>
          <w:rFonts w:cs="Calibri"/>
        </w:rPr>
        <w:t xml:space="preserve">Gestão e atribuição de códigos USSD </w:t>
      </w:r>
    </w:p>
    <w:p w14:paraId="5F6D9E68" w14:textId="698BA782" w:rsidR="00FA2D29" w:rsidRPr="007C59C5" w:rsidRDefault="00FA2D29" w:rsidP="005E137D">
      <w:pPr>
        <w:rPr>
          <w:rFonts w:cs="Calibri"/>
        </w:rPr>
      </w:pPr>
      <w:r w:rsidRPr="007C59C5">
        <w:rPr>
          <w:rFonts w:cs="Calibri"/>
        </w:rPr>
        <w:t xml:space="preserve">A </w:t>
      </w:r>
      <w:r w:rsidR="000C4A76" w:rsidRPr="007C59C5">
        <w:rPr>
          <w:rFonts w:cs="Calibri"/>
        </w:rPr>
        <w:t>ARN</w:t>
      </w:r>
      <w:r w:rsidRPr="007C59C5">
        <w:rPr>
          <w:rFonts w:cs="Calibri"/>
        </w:rPr>
        <w:t xml:space="preserve"> gere e atribui aos Prestadores de Serviços de Valor Acrescentado e aos Agregadores USSD os números associados aos códigos USSD no formato </w:t>
      </w:r>
      <w:r w:rsidRPr="007C59C5">
        <w:rPr>
          <w:rFonts w:cs="Calibri"/>
          <w:highlight w:val="lightGray"/>
        </w:rPr>
        <w:t>[</w:t>
      </w:r>
      <w:r w:rsidR="000C4A76" w:rsidRPr="007C59C5">
        <w:rPr>
          <w:rFonts w:cs="Calibri"/>
          <w:highlight w:val="lightGray"/>
        </w:rPr>
        <w:t>•</w:t>
      </w:r>
      <w:r w:rsidRPr="007C59C5">
        <w:rPr>
          <w:rFonts w:cs="Calibri"/>
          <w:highlight w:val="lightGray"/>
        </w:rPr>
        <w:t>]</w:t>
      </w:r>
      <w:r w:rsidRPr="007C59C5">
        <w:rPr>
          <w:rFonts w:cs="Calibri"/>
        </w:rPr>
        <w:t xml:space="preserve"> dedicados aos Prestadores de Serviços de Valor Acrescentado, em condições transparentes, objectivas e não discriminatórias. </w:t>
      </w:r>
    </w:p>
    <w:p w14:paraId="0B62ECA0" w14:textId="5F7E3D76" w:rsidR="00FA2D29" w:rsidRPr="007C59C5" w:rsidRDefault="00FA2D29" w:rsidP="005E137D">
      <w:pPr>
        <w:rPr>
          <w:rFonts w:cs="Calibri"/>
        </w:rPr>
      </w:pPr>
      <w:r w:rsidRPr="007C59C5">
        <w:rPr>
          <w:rFonts w:cs="Calibri"/>
        </w:rPr>
        <w:t xml:space="preserve">O número associado ao código USSD é atribuído por decisão da </w:t>
      </w:r>
      <w:r w:rsidR="000C4A76" w:rsidRPr="007C59C5">
        <w:rPr>
          <w:rFonts w:cs="Calibri"/>
        </w:rPr>
        <w:t>ARN</w:t>
      </w:r>
      <w:r w:rsidRPr="007C59C5">
        <w:rPr>
          <w:rFonts w:cs="Calibri"/>
        </w:rPr>
        <w:t>.</w:t>
      </w:r>
    </w:p>
    <w:p w14:paraId="6D1C7EBA" w14:textId="77777777" w:rsidR="00FA2D29" w:rsidRPr="007C59C5" w:rsidRDefault="00FA2D29" w:rsidP="005E137D">
      <w:pPr>
        <w:rPr>
          <w:rFonts w:cs="Calibri"/>
        </w:rPr>
      </w:pPr>
    </w:p>
    <w:p w14:paraId="7936A625" w14:textId="206F53B9" w:rsidR="00FA2D29" w:rsidRPr="007C59C5" w:rsidRDefault="00FA2D29" w:rsidP="000C4A76">
      <w:pPr>
        <w:pStyle w:val="Paragraphedeliste"/>
        <w:numPr>
          <w:ilvl w:val="0"/>
          <w:numId w:val="7"/>
        </w:numPr>
        <w:jc w:val="left"/>
        <w:rPr>
          <w:rFonts w:cs="Calibri"/>
        </w:rPr>
      </w:pPr>
      <w:r w:rsidRPr="007C59C5">
        <w:rPr>
          <w:rFonts w:cs="Calibri"/>
        </w:rPr>
        <w:t xml:space="preserve">Sanções </w:t>
      </w:r>
    </w:p>
    <w:p w14:paraId="4090CDF5" w14:textId="17DC3F17" w:rsidR="00FA2D29" w:rsidRPr="007C59C5" w:rsidRDefault="00937793" w:rsidP="005E137D">
      <w:pPr>
        <w:rPr>
          <w:rFonts w:cs="Calibri"/>
        </w:rPr>
      </w:pPr>
      <w:r>
        <w:rPr>
          <w:rFonts w:cs="Calibri"/>
        </w:rPr>
        <w:t xml:space="preserve">Os </w:t>
      </w:r>
      <w:r w:rsidR="00FA2D29" w:rsidRPr="007C59C5">
        <w:rPr>
          <w:rFonts w:cs="Calibri"/>
        </w:rPr>
        <w:t xml:space="preserve">operador </w:t>
      </w:r>
      <w:r w:rsidR="005E137D" w:rsidRPr="007C59C5">
        <w:rPr>
          <w:rFonts w:cs="Calibri"/>
        </w:rPr>
        <w:t>de comunicações electrónicas móveis</w:t>
      </w:r>
      <w:r w:rsidR="00FA2D29" w:rsidRPr="007C59C5">
        <w:rPr>
          <w:rFonts w:cs="Calibri"/>
        </w:rPr>
        <w:t xml:space="preserve"> que não cumpr</w:t>
      </w:r>
      <w:r>
        <w:rPr>
          <w:rFonts w:cs="Calibri"/>
        </w:rPr>
        <w:t>irem</w:t>
      </w:r>
      <w:r w:rsidR="00FA2D29" w:rsidRPr="007C59C5">
        <w:rPr>
          <w:rFonts w:cs="Calibri"/>
        </w:rPr>
        <w:t xml:space="preserve"> as obrigações que lhe são impostas pelos textos legislativos e regulamentares e pelas disposições d</w:t>
      </w:r>
      <w:r w:rsidR="006212BB">
        <w:rPr>
          <w:rFonts w:cs="Calibri"/>
        </w:rPr>
        <w:t>a</w:t>
      </w:r>
      <w:r w:rsidR="000C4A76" w:rsidRPr="007C59C5">
        <w:rPr>
          <w:rFonts w:cs="Calibri"/>
        </w:rPr>
        <w:t xml:space="preserve"> </w:t>
      </w:r>
      <w:r w:rsidR="00FA2D29" w:rsidRPr="007C59C5">
        <w:rPr>
          <w:rFonts w:cs="Calibri"/>
        </w:rPr>
        <w:t xml:space="preserve">presente </w:t>
      </w:r>
      <w:r w:rsidR="00DB78AA">
        <w:rPr>
          <w:rFonts w:cs="Calibri"/>
        </w:rPr>
        <w:t>d</w:t>
      </w:r>
      <w:r w:rsidR="00DB78AA" w:rsidRPr="00DB78AA">
        <w:rPr>
          <w:rFonts w:cs="Calibri"/>
        </w:rPr>
        <w:t>eliberação</w:t>
      </w:r>
      <w:r>
        <w:rPr>
          <w:rFonts w:cs="Calibri"/>
        </w:rPr>
        <w:t xml:space="preserve"> </w:t>
      </w:r>
      <w:r w:rsidR="00FA2D29" w:rsidRPr="007C59C5">
        <w:rPr>
          <w:rFonts w:cs="Calibri"/>
        </w:rPr>
        <w:t xml:space="preserve">será sancionado em conformidade com a regulamentação em vigor. </w:t>
      </w:r>
    </w:p>
    <w:p w14:paraId="0E39F4DE" w14:textId="77777777" w:rsidR="00FA2D29" w:rsidRPr="007C59C5" w:rsidRDefault="00FA2D29" w:rsidP="005E137D">
      <w:pPr>
        <w:rPr>
          <w:rFonts w:cs="Calibri"/>
        </w:rPr>
      </w:pPr>
    </w:p>
    <w:p w14:paraId="737AFFEE" w14:textId="0C59F60C" w:rsidR="000C4A76" w:rsidRPr="007C59C5" w:rsidRDefault="000C4A76" w:rsidP="000C4A76">
      <w:pPr>
        <w:pStyle w:val="Paragraphedeliste"/>
        <w:numPr>
          <w:ilvl w:val="0"/>
          <w:numId w:val="7"/>
        </w:numPr>
        <w:jc w:val="left"/>
        <w:rPr>
          <w:rFonts w:cs="Calibri"/>
        </w:rPr>
      </w:pPr>
      <w:r w:rsidRPr="007C59C5">
        <w:rPr>
          <w:rFonts w:cs="Calibri"/>
        </w:rPr>
        <w:t>Entrada em vigor</w:t>
      </w:r>
    </w:p>
    <w:p w14:paraId="40FAC4D7" w14:textId="63633194" w:rsidR="000C4A76" w:rsidRPr="007C59C5" w:rsidRDefault="00DB78AA" w:rsidP="000C4A76">
      <w:r>
        <w:t>A</w:t>
      </w:r>
      <w:r w:rsidRPr="007C59C5">
        <w:t xml:space="preserve"> </w:t>
      </w:r>
      <w:r w:rsidR="000C4A76" w:rsidRPr="007C59C5">
        <w:t>prese</w:t>
      </w:r>
      <w:r w:rsidR="007E14A1">
        <w:t>n</w:t>
      </w:r>
      <w:r w:rsidR="000C4A76" w:rsidRPr="007C59C5">
        <w:t xml:space="preserve">te </w:t>
      </w:r>
      <w:r>
        <w:t>d</w:t>
      </w:r>
      <w:r w:rsidRPr="00DB78AA">
        <w:t>eliberação</w:t>
      </w:r>
      <w:r w:rsidRPr="00DB78AA" w:rsidDel="00DB78AA">
        <w:t xml:space="preserve"> </w:t>
      </w:r>
      <w:r w:rsidR="000C4A76" w:rsidRPr="007C59C5">
        <w:t>en</w:t>
      </w:r>
      <w:r w:rsidR="007E14A1">
        <w:t>t</w:t>
      </w:r>
      <w:r w:rsidR="000C4A76" w:rsidRPr="007C59C5">
        <w:t>ra imediatamente em vigor</w:t>
      </w:r>
    </w:p>
    <w:p w14:paraId="28853D30" w14:textId="3ED6C50A" w:rsidR="000C4A76" w:rsidRPr="007C59C5" w:rsidRDefault="000C4A76" w:rsidP="000C4A76">
      <w:r w:rsidRPr="007C59C5">
        <w:t>Publique-Se</w:t>
      </w:r>
    </w:p>
    <w:p w14:paraId="4EC6F403" w14:textId="01AA79CC" w:rsidR="00DB78AA" w:rsidRDefault="000C4A76" w:rsidP="000C4A76">
      <w:r w:rsidRPr="007C59C5">
        <w:lastRenderedPageBreak/>
        <w:t>Bissau [</w:t>
      </w:r>
      <w:r w:rsidRPr="007C59C5">
        <w:rPr>
          <w:highlight w:val="lightGray"/>
        </w:rPr>
        <w:t>dat</w:t>
      </w:r>
      <w:r w:rsidR="007C59C5" w:rsidRPr="007C59C5">
        <w:rPr>
          <w:highlight w:val="lightGray"/>
        </w:rPr>
        <w:t>a</w:t>
      </w:r>
      <w:r w:rsidRPr="007C59C5">
        <w:rPr>
          <w:highlight w:val="lightGray"/>
        </w:rPr>
        <w:t>]</w:t>
      </w:r>
      <w:r w:rsidR="007C59C5" w:rsidRPr="007C59C5">
        <w:t>- O Conselho de Administraçao</w:t>
      </w:r>
    </w:p>
    <w:p w14:paraId="01E5F91A" w14:textId="075FA643" w:rsidR="00DB78AA" w:rsidRPr="00DB78AA" w:rsidRDefault="00DB78AA" w:rsidP="00DB78AA">
      <w:pPr>
        <w:rPr>
          <w:lang w:val="it-IT"/>
        </w:rPr>
      </w:pPr>
      <w:r w:rsidRPr="00DB78AA">
        <w:rPr>
          <w:lang w:val="it-IT"/>
        </w:rPr>
        <w:t>Dr. Cheikh Amadú Bamba Koté</w:t>
      </w:r>
      <w:r>
        <w:rPr>
          <w:lang w:val="it-IT"/>
        </w:rPr>
        <w:t xml:space="preserve">, </w:t>
      </w:r>
      <w:r w:rsidRPr="00DB78AA">
        <w:rPr>
          <w:lang w:val="it-IT"/>
        </w:rPr>
        <w:t xml:space="preserve">Presidente </w:t>
      </w:r>
    </w:p>
    <w:p w14:paraId="72606CD5" w14:textId="0FA25316" w:rsidR="000C4A76" w:rsidRPr="007C59C5" w:rsidRDefault="00DB78AA" w:rsidP="00DB78AA">
      <w:r>
        <w:rPr>
          <w:lang w:val="pt-BR"/>
        </w:rPr>
        <w:t>[</w:t>
      </w:r>
      <w:r>
        <w:rPr>
          <w:rFonts w:cs="Calibri"/>
          <w:lang w:val="pt-BR"/>
        </w:rPr>
        <w:t>•</w:t>
      </w:r>
      <w:r>
        <w:rPr>
          <w:lang w:val="pt-BR"/>
        </w:rPr>
        <w:t>],</w:t>
      </w:r>
      <w:r w:rsidRPr="00DB78AA">
        <w:rPr>
          <w:lang w:val="pt-BR"/>
        </w:rPr>
        <w:t xml:space="preserve"> </w:t>
      </w:r>
      <w:proofErr w:type="gramStart"/>
      <w:r w:rsidRPr="00DB78AA">
        <w:rPr>
          <w:lang w:val="pt-BR"/>
        </w:rPr>
        <w:t>Vogal</w:t>
      </w:r>
      <w:proofErr w:type="gramEnd"/>
      <w:r w:rsidRPr="00DB78AA">
        <w:rPr>
          <w:lang w:val="pt-BR"/>
        </w:rPr>
        <w:t xml:space="preserve"> </w:t>
      </w:r>
    </w:p>
    <w:p w14:paraId="20F2C2A0" w14:textId="77777777" w:rsidR="00FA2D29" w:rsidRPr="007C59C5" w:rsidRDefault="00FA2D29" w:rsidP="005E137D">
      <w:pPr>
        <w:rPr>
          <w:rFonts w:cs="Calibri"/>
        </w:rPr>
      </w:pPr>
    </w:p>
    <w:p w14:paraId="4AED3D29" w14:textId="77777777" w:rsidR="00FA2D29" w:rsidRPr="005E137D" w:rsidRDefault="00FA2D29" w:rsidP="005E137D">
      <w:pPr>
        <w:rPr>
          <w:rFonts w:cs="Calibri"/>
        </w:rPr>
      </w:pPr>
    </w:p>
    <w:sectPr w:rsidR="00FA2D29" w:rsidRPr="005E137D" w:rsidSect="00FA2D29">
      <w:pgSz w:w="11906" w:h="16838"/>
      <w:pgMar w:top="1417" w:right="1417" w:bottom="1417"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5B6369"/>
    <w:multiLevelType w:val="hybridMultilevel"/>
    <w:tmpl w:val="1EE82742"/>
    <w:lvl w:ilvl="0" w:tplc="875EC20A">
      <w:start w:val="1"/>
      <w:numFmt w:val="decimal"/>
      <w:pStyle w:val="Style2"/>
      <w:lvlText w:val="%1."/>
      <w:lvlJc w:val="left"/>
      <w:pPr>
        <w:ind w:left="1440" w:hanging="360"/>
      </w:pPr>
      <w:rPr>
        <w:rFonts w:ascii="Times New Roman" w:hAnsi="Times New Roman" w:hint="default"/>
        <w:b w:val="0"/>
        <w:bCs w:val="0"/>
        <w:i w:val="0"/>
        <w:w w:val="105"/>
        <w:sz w:val="22"/>
        <w:szCs w:val="28"/>
        <w:u w:val="none"/>
        <w:vertAlign w:val="baseline"/>
      </w:rPr>
    </w:lvl>
    <w:lvl w:ilvl="1" w:tplc="040C0019">
      <w:start w:val="1"/>
      <w:numFmt w:val="lowerLetter"/>
      <w:lvlText w:val="%2."/>
      <w:lvlJc w:val="left"/>
      <w:pPr>
        <w:ind w:left="2160" w:hanging="360"/>
      </w:pPr>
    </w:lvl>
    <w:lvl w:ilvl="2" w:tplc="040C001B">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 w15:restartNumberingAfterBreak="0">
    <w:nsid w:val="13FC6C7E"/>
    <w:multiLevelType w:val="hybridMultilevel"/>
    <w:tmpl w:val="F65005A0"/>
    <w:lvl w:ilvl="0" w:tplc="1E4E0CD6">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8E70B42"/>
    <w:multiLevelType w:val="hybridMultilevel"/>
    <w:tmpl w:val="3D0C6156"/>
    <w:lvl w:ilvl="0" w:tplc="8214CF7C">
      <w:start w:val="1"/>
      <w:numFmt w:val="decimal"/>
      <w:lvlText w:val="Artigo %1."/>
      <w:lvlJc w:val="left"/>
      <w:pPr>
        <w:ind w:left="720" w:hanging="360"/>
      </w:pPr>
      <w:rPr>
        <w:rFonts w:hint="default"/>
        <w:b/>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A553BFE"/>
    <w:multiLevelType w:val="hybridMultilevel"/>
    <w:tmpl w:val="45E4C3B4"/>
    <w:lvl w:ilvl="0" w:tplc="56B27C1A">
      <w:start w:val="1"/>
      <w:numFmt w:val="lowerLetter"/>
      <w:pStyle w:val="Style1"/>
      <w:lvlText w:val="%1)"/>
      <w:lvlJc w:val="left"/>
      <w:pPr>
        <w:ind w:left="1776" w:hanging="360"/>
      </w:p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4" w15:restartNumberingAfterBreak="0">
    <w:nsid w:val="38AF4D0D"/>
    <w:multiLevelType w:val="hybridMultilevel"/>
    <w:tmpl w:val="767CF704"/>
    <w:lvl w:ilvl="0" w:tplc="1E4E0CD6">
      <w:start w:val="1"/>
      <w:numFmt w:val="bullet"/>
      <w:lvlText w:val="-"/>
      <w:lvlJc w:val="left"/>
      <w:pPr>
        <w:ind w:left="720" w:hanging="360"/>
      </w:pPr>
      <w:rPr>
        <w:rFonts w:ascii="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511596D"/>
    <w:multiLevelType w:val="multilevel"/>
    <w:tmpl w:val="7E8658C0"/>
    <w:lvl w:ilvl="0">
      <w:start w:val="1"/>
      <w:numFmt w:val="decimal"/>
      <w:lvlText w:val="Article %1."/>
      <w:lvlJc w:val="left"/>
      <w:pPr>
        <w:ind w:left="360" w:hanging="360"/>
      </w:pPr>
      <w:rPr>
        <w:rFonts w:hint="default"/>
        <w:b/>
        <w:bCs/>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3F92CC0"/>
    <w:multiLevelType w:val="hybridMultilevel"/>
    <w:tmpl w:val="01FCA334"/>
    <w:lvl w:ilvl="0" w:tplc="1E4E0CD6">
      <w:start w:val="1"/>
      <w:numFmt w:val="bullet"/>
      <w:lvlText w:val="-"/>
      <w:lvlJc w:val="left"/>
      <w:pPr>
        <w:ind w:left="1068" w:hanging="360"/>
      </w:pPr>
      <w:rPr>
        <w:rFonts w:ascii="Times New Roman" w:hAnsi="Times New Roman" w:cs="Times New Roman"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7" w15:restartNumberingAfterBreak="0">
    <w:nsid w:val="5B7032F0"/>
    <w:multiLevelType w:val="hybridMultilevel"/>
    <w:tmpl w:val="CC686D80"/>
    <w:lvl w:ilvl="0" w:tplc="8214CF7C">
      <w:start w:val="1"/>
      <w:numFmt w:val="decimal"/>
      <w:lvlText w:val="Artigo %1."/>
      <w:lvlJc w:val="left"/>
      <w:pPr>
        <w:ind w:left="720" w:hanging="360"/>
      </w:pPr>
      <w:rPr>
        <w:rFonts w:hint="default"/>
        <w:b/>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60C7CB6"/>
    <w:multiLevelType w:val="hybridMultilevel"/>
    <w:tmpl w:val="B3A6564C"/>
    <w:lvl w:ilvl="0" w:tplc="8214CF7C">
      <w:start w:val="1"/>
      <w:numFmt w:val="decimal"/>
      <w:lvlText w:val="Artigo %1."/>
      <w:lvlJc w:val="left"/>
      <w:pPr>
        <w:ind w:left="720" w:hanging="360"/>
      </w:pPr>
      <w:rPr>
        <w:rFonts w:hint="default"/>
        <w:b/>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342003065">
    <w:abstractNumId w:val="5"/>
  </w:num>
  <w:num w:numId="2" w16cid:durableId="1823111851">
    <w:abstractNumId w:val="1"/>
  </w:num>
  <w:num w:numId="3" w16cid:durableId="318769590">
    <w:abstractNumId w:val="4"/>
  </w:num>
  <w:num w:numId="4" w16cid:durableId="1856307432">
    <w:abstractNumId w:val="6"/>
  </w:num>
  <w:num w:numId="5" w16cid:durableId="201212231">
    <w:abstractNumId w:val="0"/>
  </w:num>
  <w:num w:numId="6" w16cid:durableId="1688557767">
    <w:abstractNumId w:val="0"/>
    <w:lvlOverride w:ilvl="0">
      <w:startOverride w:val="1"/>
    </w:lvlOverride>
  </w:num>
  <w:num w:numId="7" w16cid:durableId="589004707">
    <w:abstractNumId w:val="8"/>
  </w:num>
  <w:num w:numId="8" w16cid:durableId="640383524">
    <w:abstractNumId w:val="2"/>
  </w:num>
  <w:num w:numId="9" w16cid:durableId="936445577">
    <w:abstractNumId w:val="7"/>
  </w:num>
  <w:num w:numId="10" w16cid:durableId="101875647">
    <w:abstractNumId w:val="0"/>
    <w:lvlOverride w:ilvl="0">
      <w:startOverride w:val="1"/>
    </w:lvlOverride>
  </w:num>
  <w:num w:numId="11" w16cid:durableId="1817645271">
    <w:abstractNumId w:val="3"/>
  </w:num>
  <w:num w:numId="12" w16cid:durableId="675379701">
    <w:abstractNumId w:val="0"/>
  </w:num>
  <w:num w:numId="13" w16cid:durableId="2089646327">
    <w:abstractNumId w:val="3"/>
  </w:num>
  <w:num w:numId="14" w16cid:durableId="1344361935">
    <w:abstractNumId w:val="3"/>
    <w:lvlOverride w:ilvl="0">
      <w:startOverride w:val="1"/>
    </w:lvlOverride>
  </w:num>
  <w:num w:numId="15" w16cid:durableId="1518497727">
    <w:abstractNumId w:val="0"/>
  </w:num>
  <w:num w:numId="16" w16cid:durableId="1200701017">
    <w:abstractNumId w:val="3"/>
  </w:num>
  <w:num w:numId="17" w16cid:durableId="2112816292">
    <w:abstractNumId w:val="3"/>
    <w:lvlOverride w:ilvl="0">
      <w:startOverride w:val="1"/>
    </w:lvlOverride>
  </w:num>
  <w:num w:numId="18" w16cid:durableId="1693071191">
    <w:abstractNumId w:val="0"/>
    <w:lvlOverride w:ilvl="0">
      <w:startOverride w:val="1"/>
    </w:lvlOverride>
  </w:num>
  <w:num w:numId="19" w16cid:durableId="709263267">
    <w:abstractNumId w:val="3"/>
    <w:lvlOverride w:ilvl="0">
      <w:startOverride w:val="1"/>
    </w:lvlOverride>
  </w:num>
  <w:num w:numId="20" w16cid:durableId="51118457">
    <w:abstractNumId w:val="0"/>
  </w:num>
  <w:num w:numId="21" w16cid:durableId="1315336023">
    <w:abstractNumId w:val="0"/>
  </w:num>
  <w:num w:numId="22" w16cid:durableId="1396202483">
    <w:abstractNumId w:val="0"/>
    <w:lvlOverride w:ilvl="0">
      <w:startOverride w:val="1"/>
    </w:lvlOverride>
  </w:num>
  <w:num w:numId="23" w16cid:durableId="280693968">
    <w:abstractNumId w:val="3"/>
    <w:lvlOverride w:ilvl="0">
      <w:startOverride w:val="1"/>
    </w:lvlOverride>
  </w:num>
  <w:num w:numId="24" w16cid:durableId="448475222">
    <w:abstractNumId w:val="0"/>
  </w:num>
  <w:num w:numId="25" w16cid:durableId="844829732">
    <w:abstractNumId w:val="0"/>
  </w:num>
  <w:num w:numId="26" w16cid:durableId="777919143">
    <w:abstractNumId w:val="0"/>
  </w:num>
  <w:num w:numId="27" w16cid:durableId="714355802">
    <w:abstractNumId w:val="3"/>
    <w:lvlOverride w:ilvl="0">
      <w:startOverride w:val="1"/>
    </w:lvlOverride>
  </w:num>
  <w:num w:numId="28" w16cid:durableId="436101153">
    <w:abstractNumId w:val="3"/>
  </w:num>
  <w:num w:numId="29" w16cid:durableId="186582570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D29"/>
    <w:rsid w:val="00032C1D"/>
    <w:rsid w:val="000B4DF8"/>
    <w:rsid w:val="000C4A76"/>
    <w:rsid w:val="000E3E44"/>
    <w:rsid w:val="001E3D80"/>
    <w:rsid w:val="003A4770"/>
    <w:rsid w:val="003F0A2C"/>
    <w:rsid w:val="004A4B9C"/>
    <w:rsid w:val="004A5638"/>
    <w:rsid w:val="0058529E"/>
    <w:rsid w:val="005E137D"/>
    <w:rsid w:val="005F5A58"/>
    <w:rsid w:val="006212BB"/>
    <w:rsid w:val="006D50BA"/>
    <w:rsid w:val="007C59C5"/>
    <w:rsid w:val="007E14A1"/>
    <w:rsid w:val="00840808"/>
    <w:rsid w:val="00885A21"/>
    <w:rsid w:val="00892593"/>
    <w:rsid w:val="008B700C"/>
    <w:rsid w:val="008E77C1"/>
    <w:rsid w:val="00915418"/>
    <w:rsid w:val="00937793"/>
    <w:rsid w:val="00B26039"/>
    <w:rsid w:val="00BB487B"/>
    <w:rsid w:val="00C12B59"/>
    <w:rsid w:val="00C837D5"/>
    <w:rsid w:val="00CE26CD"/>
    <w:rsid w:val="00DB78AA"/>
    <w:rsid w:val="00DD52D2"/>
    <w:rsid w:val="00DE52C6"/>
    <w:rsid w:val="00DF298D"/>
    <w:rsid w:val="00E60298"/>
    <w:rsid w:val="00E9441C"/>
    <w:rsid w:val="00F30C0D"/>
    <w:rsid w:val="00FA2D29"/>
    <w:rsid w:val="00FC15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6C0F6"/>
  <w15:chartTrackingRefBased/>
  <w15:docId w15:val="{7445B99C-E9ED-4906-9A32-ACD34B400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137D"/>
    <w:pPr>
      <w:spacing w:before="120" w:after="120" w:line="259" w:lineRule="auto"/>
      <w:jc w:val="both"/>
    </w:pPr>
    <w:rPr>
      <w:rFonts w:ascii="Calibri" w:hAnsi="Calibri"/>
      <w:kern w:val="0"/>
      <w:sz w:val="22"/>
      <w:szCs w:val="22"/>
      <w:lang w:val="pt-PT"/>
      <w14:ligatures w14:val="none"/>
    </w:rPr>
  </w:style>
  <w:style w:type="paragraph" w:styleId="Titre1">
    <w:name w:val="heading 1"/>
    <w:basedOn w:val="Normal"/>
    <w:next w:val="Normal"/>
    <w:link w:val="Titre1Car"/>
    <w:uiPriority w:val="9"/>
    <w:qFormat/>
    <w:rsid w:val="00FA2D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A2D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A2D2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A2D2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A2D2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A2D29"/>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A2D29"/>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A2D29"/>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A2D29"/>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A2D2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A2D2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A2D2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A2D2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A2D2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A2D2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A2D2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A2D2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A2D29"/>
    <w:rPr>
      <w:rFonts w:eastAsiaTheme="majorEastAsia" w:cstheme="majorBidi"/>
      <w:color w:val="272727" w:themeColor="text1" w:themeTint="D8"/>
    </w:rPr>
  </w:style>
  <w:style w:type="paragraph" w:styleId="Titre">
    <w:name w:val="Title"/>
    <w:basedOn w:val="Normal"/>
    <w:next w:val="Normal"/>
    <w:link w:val="TitreCar"/>
    <w:uiPriority w:val="10"/>
    <w:qFormat/>
    <w:rsid w:val="00FA2D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A2D2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A2D2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A2D2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A2D29"/>
    <w:pPr>
      <w:spacing w:before="160"/>
      <w:jc w:val="center"/>
    </w:pPr>
    <w:rPr>
      <w:i/>
      <w:iCs/>
      <w:color w:val="404040" w:themeColor="text1" w:themeTint="BF"/>
    </w:rPr>
  </w:style>
  <w:style w:type="character" w:customStyle="1" w:styleId="CitationCar">
    <w:name w:val="Citation Car"/>
    <w:basedOn w:val="Policepardfaut"/>
    <w:link w:val="Citation"/>
    <w:uiPriority w:val="29"/>
    <w:rsid w:val="00FA2D29"/>
    <w:rPr>
      <w:i/>
      <w:iCs/>
      <w:color w:val="404040" w:themeColor="text1" w:themeTint="BF"/>
    </w:rPr>
  </w:style>
  <w:style w:type="paragraph" w:styleId="Paragraphedeliste">
    <w:name w:val="List Paragraph"/>
    <w:aliases w:val="Bullets,Medium Grid 1 - Accent 21,References,List Paragraph (numbered (a)),Numbered List Paragraph,Liste 1,List Bullet Mary,List Paragraph nowy,ReferencesCxSpLast,Texte Général,Paragraphe  revu,Chapter,lp1,6 pt paragraphe carré,3,l"/>
    <w:basedOn w:val="Normal"/>
    <w:link w:val="ParagraphedelisteCar"/>
    <w:uiPriority w:val="34"/>
    <w:qFormat/>
    <w:rsid w:val="00FA2D29"/>
    <w:pPr>
      <w:ind w:left="720"/>
      <w:contextualSpacing/>
    </w:pPr>
  </w:style>
  <w:style w:type="character" w:styleId="Accentuationintense">
    <w:name w:val="Intense Emphasis"/>
    <w:basedOn w:val="Policepardfaut"/>
    <w:uiPriority w:val="21"/>
    <w:qFormat/>
    <w:rsid w:val="00FA2D29"/>
    <w:rPr>
      <w:i/>
      <w:iCs/>
      <w:color w:val="0F4761" w:themeColor="accent1" w:themeShade="BF"/>
    </w:rPr>
  </w:style>
  <w:style w:type="paragraph" w:styleId="Citationintense">
    <w:name w:val="Intense Quote"/>
    <w:basedOn w:val="Normal"/>
    <w:next w:val="Normal"/>
    <w:link w:val="CitationintenseCar"/>
    <w:uiPriority w:val="30"/>
    <w:qFormat/>
    <w:rsid w:val="00FA2D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A2D29"/>
    <w:rPr>
      <w:i/>
      <w:iCs/>
      <w:color w:val="0F4761" w:themeColor="accent1" w:themeShade="BF"/>
    </w:rPr>
  </w:style>
  <w:style w:type="character" w:styleId="Rfrenceintense">
    <w:name w:val="Intense Reference"/>
    <w:basedOn w:val="Policepardfaut"/>
    <w:uiPriority w:val="32"/>
    <w:qFormat/>
    <w:rsid w:val="00FA2D29"/>
    <w:rPr>
      <w:b/>
      <w:bCs/>
      <w:smallCaps/>
      <w:color w:val="0F4761" w:themeColor="accent1" w:themeShade="BF"/>
      <w:spacing w:val="5"/>
    </w:rPr>
  </w:style>
  <w:style w:type="character" w:customStyle="1" w:styleId="ParagraphedelisteCar">
    <w:name w:val="Paragraphe de liste Car"/>
    <w:aliases w:val="Bullets Car,Medium Grid 1 - Accent 21 Car,References Car,List Paragraph (numbered (a)) Car,Numbered List Paragraph Car,Liste 1 Car,List Bullet Mary Car,List Paragraph nowy Car,ReferencesCxSpLast Car,Texte Général Car,Chapter Car"/>
    <w:link w:val="Paragraphedeliste"/>
    <w:uiPriority w:val="34"/>
    <w:qFormat/>
    <w:locked/>
    <w:rsid w:val="00FA2D29"/>
  </w:style>
  <w:style w:type="table" w:styleId="Grilledutableau">
    <w:name w:val="Table Grid"/>
    <w:aliases w:val="Bordure,arx IT,CV table,chiffres,Tableau D,Table Finalité,Volet,Table EY,EY Table,CV1,microeconomix,Table long document,GT0,tableau modelo,Table Definitions Grid,tt,Deloitte,Table Definitions Grid1,Deloitte Table Grid"/>
    <w:basedOn w:val="TableauNormal"/>
    <w:uiPriority w:val="39"/>
    <w:qFormat/>
    <w:rsid w:val="00FA2D2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aliases w:val="ALTS FOOTNOTE,Fußnotentextf,Footnote Text Char Char,Footnote Text Char2 Char Char,Footnote Text Char3 Char1 Char Char,Footnote Text Char2 Char1 Char1 Char Char,Footnote Text Char3 Char1 Char Char Char Char,Footnote Text Char2,f"/>
    <w:basedOn w:val="Normal"/>
    <w:link w:val="NotedebasdepageCar"/>
    <w:uiPriority w:val="99"/>
    <w:qFormat/>
    <w:rsid w:val="00FA2D29"/>
    <w:pPr>
      <w:spacing w:line="240" w:lineRule="auto"/>
      <w:ind w:left="426" w:hanging="426"/>
    </w:pPr>
    <w:rPr>
      <w:rFonts w:eastAsia="Times New Roman" w:cs="Times New Roman"/>
      <w:sz w:val="16"/>
      <w:szCs w:val="20"/>
      <w:lang w:eastAsia="fr-FR"/>
    </w:rPr>
  </w:style>
  <w:style w:type="character" w:customStyle="1" w:styleId="NotedebasdepageCar">
    <w:name w:val="Note de bas de page Car"/>
    <w:aliases w:val="ALTS FOOTNOTE Car,Fußnotentextf Car,Footnote Text Char Char Car,Footnote Text Char2 Char Char Car,Footnote Text Char3 Char1 Char Char Car,Footnote Text Char2 Char1 Char1 Char Char Car,Footnote Text Char2 Car,f Car"/>
    <w:basedOn w:val="Policepardfaut"/>
    <w:link w:val="Notedebasdepage"/>
    <w:uiPriority w:val="99"/>
    <w:qFormat/>
    <w:rsid w:val="00FA2D29"/>
    <w:rPr>
      <w:rFonts w:ascii="Aptos" w:eastAsia="Times New Roman" w:hAnsi="Aptos" w:cs="Times New Roman"/>
      <w:kern w:val="0"/>
      <w:sz w:val="16"/>
      <w:szCs w:val="20"/>
      <w:lang w:val="pt-PT" w:eastAsia="fr-FR"/>
      <w14:ligatures w14:val="none"/>
    </w:rPr>
  </w:style>
  <w:style w:type="paragraph" w:customStyle="1" w:styleId="Style2">
    <w:name w:val="Style2"/>
    <w:basedOn w:val="Paragraphedeliste"/>
    <w:link w:val="Style2Car"/>
    <w:autoRedefine/>
    <w:qFormat/>
    <w:rsid w:val="000C4A76"/>
    <w:pPr>
      <w:widowControl w:val="0"/>
      <w:numPr>
        <w:numId w:val="5"/>
      </w:numPr>
      <w:autoSpaceDE w:val="0"/>
      <w:autoSpaceDN w:val="0"/>
    </w:pPr>
    <w:rPr>
      <w:rFonts w:cstheme="minorHAnsi"/>
      <w:spacing w:val="-2"/>
      <w:kern w:val="2"/>
      <w:lang w:val="pt-BR"/>
      <w14:ligatures w14:val="standardContextual"/>
    </w:rPr>
  </w:style>
  <w:style w:type="character" w:customStyle="1" w:styleId="Style2Car">
    <w:name w:val="Style2 Car"/>
    <w:basedOn w:val="ParagraphedelisteCar"/>
    <w:link w:val="Style2"/>
    <w:rsid w:val="000C4A76"/>
    <w:rPr>
      <w:rFonts w:ascii="Calibri" w:hAnsi="Calibri" w:cstheme="minorHAnsi"/>
      <w:spacing w:val="-2"/>
      <w:sz w:val="22"/>
      <w:szCs w:val="22"/>
      <w:lang w:val="pt-BR"/>
    </w:rPr>
  </w:style>
  <w:style w:type="paragraph" w:customStyle="1" w:styleId="Style1">
    <w:name w:val="Style1"/>
    <w:basedOn w:val="Paragraphedeliste"/>
    <w:link w:val="Style1Car"/>
    <w:qFormat/>
    <w:rsid w:val="005E137D"/>
    <w:pPr>
      <w:numPr>
        <w:numId w:val="11"/>
      </w:numPr>
    </w:pPr>
    <w:rPr>
      <w:rFonts w:cs="Calibri"/>
    </w:rPr>
  </w:style>
  <w:style w:type="character" w:customStyle="1" w:styleId="Style1Car">
    <w:name w:val="Style1 Car"/>
    <w:basedOn w:val="ParagraphedelisteCar"/>
    <w:link w:val="Style1"/>
    <w:rsid w:val="005E137D"/>
    <w:rPr>
      <w:rFonts w:ascii="Calibri" w:hAnsi="Calibri" w:cs="Calibri"/>
      <w:kern w:val="0"/>
      <w:sz w:val="22"/>
      <w:szCs w:val="22"/>
      <w:lang w:val="pt-PT"/>
      <w14:ligatures w14:val="none"/>
    </w:rPr>
  </w:style>
  <w:style w:type="paragraph" w:styleId="Rvision">
    <w:name w:val="Revision"/>
    <w:hidden/>
    <w:uiPriority w:val="99"/>
    <w:semiHidden/>
    <w:rsid w:val="00032C1D"/>
    <w:pPr>
      <w:spacing w:after="0" w:line="240" w:lineRule="auto"/>
    </w:pPr>
    <w:rPr>
      <w:rFonts w:ascii="Calibri" w:hAnsi="Calibri"/>
      <w:kern w:val="0"/>
      <w:sz w:val="22"/>
      <w:szCs w:val="22"/>
      <w:lang w:val="pt-PT"/>
      <w14:ligatures w14:val="none"/>
    </w:rPr>
  </w:style>
  <w:style w:type="character" w:styleId="Marquedecommentaire">
    <w:name w:val="annotation reference"/>
    <w:basedOn w:val="Policepardfaut"/>
    <w:uiPriority w:val="99"/>
    <w:semiHidden/>
    <w:unhideWhenUsed/>
    <w:rsid w:val="00032C1D"/>
    <w:rPr>
      <w:sz w:val="16"/>
      <w:szCs w:val="16"/>
    </w:rPr>
  </w:style>
  <w:style w:type="paragraph" w:styleId="Commentaire">
    <w:name w:val="annotation text"/>
    <w:basedOn w:val="Normal"/>
    <w:link w:val="CommentaireCar"/>
    <w:uiPriority w:val="99"/>
    <w:unhideWhenUsed/>
    <w:rsid w:val="00032C1D"/>
    <w:pPr>
      <w:spacing w:line="240" w:lineRule="auto"/>
    </w:pPr>
    <w:rPr>
      <w:sz w:val="20"/>
      <w:szCs w:val="20"/>
    </w:rPr>
  </w:style>
  <w:style w:type="character" w:customStyle="1" w:styleId="CommentaireCar">
    <w:name w:val="Commentaire Car"/>
    <w:basedOn w:val="Policepardfaut"/>
    <w:link w:val="Commentaire"/>
    <w:uiPriority w:val="99"/>
    <w:rsid w:val="00032C1D"/>
    <w:rPr>
      <w:rFonts w:ascii="Calibri" w:hAnsi="Calibri"/>
      <w:kern w:val="0"/>
      <w:sz w:val="20"/>
      <w:szCs w:val="20"/>
      <w:lang w:val="pt-PT"/>
      <w14:ligatures w14:val="none"/>
    </w:rPr>
  </w:style>
  <w:style w:type="paragraph" w:styleId="Objetducommentaire">
    <w:name w:val="annotation subject"/>
    <w:basedOn w:val="Commentaire"/>
    <w:next w:val="Commentaire"/>
    <w:link w:val="ObjetducommentaireCar"/>
    <w:uiPriority w:val="99"/>
    <w:semiHidden/>
    <w:unhideWhenUsed/>
    <w:rsid w:val="00032C1D"/>
    <w:rPr>
      <w:b/>
      <w:bCs/>
    </w:rPr>
  </w:style>
  <w:style w:type="character" w:customStyle="1" w:styleId="ObjetducommentaireCar">
    <w:name w:val="Objet du commentaire Car"/>
    <w:basedOn w:val="CommentaireCar"/>
    <w:link w:val="Objetducommentaire"/>
    <w:uiPriority w:val="99"/>
    <w:semiHidden/>
    <w:rsid w:val="00032C1D"/>
    <w:rPr>
      <w:rFonts w:ascii="Calibri" w:hAnsi="Calibri"/>
      <w:b/>
      <w:bCs/>
      <w:kern w:val="0"/>
      <w:sz w:val="20"/>
      <w:szCs w:val="20"/>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1761</Words>
  <Characters>9687</Characters>
  <Application>Microsoft Office Word</Application>
  <DocSecurity>0</DocSecurity>
  <Lines>80</Lines>
  <Paragraphs>22</Paragraphs>
  <ScaleCrop>false</ScaleCrop>
  <HeadingPairs>
    <vt:vector size="4" baseType="variant">
      <vt:variant>
        <vt:lpstr>Titre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 duhamel</dc:creator>
  <cp:keywords/>
  <dc:description/>
  <cp:lastModifiedBy>katia duhamel</cp:lastModifiedBy>
  <cp:revision>3</cp:revision>
  <dcterms:created xsi:type="dcterms:W3CDTF">2024-08-26T19:56:00Z</dcterms:created>
  <dcterms:modified xsi:type="dcterms:W3CDTF">2024-09-10T12:00:00Z</dcterms:modified>
</cp:coreProperties>
</file>